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35F" w:rsidRPr="00451D49" w:rsidRDefault="00A0235F" w:rsidP="00A0235F">
      <w:pPr>
        <w:spacing w:after="0" w:line="240" w:lineRule="auto"/>
        <w:rPr>
          <w:sz w:val="20"/>
          <w:szCs w:val="20"/>
        </w:rPr>
      </w:pPr>
      <w:r w:rsidRPr="00451D49">
        <w:rPr>
          <w:sz w:val="20"/>
          <w:szCs w:val="20"/>
        </w:rPr>
        <w:t xml:space="preserve">Name: </w:t>
      </w:r>
    </w:p>
    <w:p w:rsidR="00A0235F" w:rsidRDefault="00A0235F" w:rsidP="00A0235F">
      <w:pPr>
        <w:spacing w:after="0" w:line="240" w:lineRule="auto"/>
        <w:rPr>
          <w:sz w:val="36"/>
          <w:szCs w:val="36"/>
        </w:rPr>
      </w:pPr>
      <w:r>
        <w:rPr>
          <w:sz w:val="36"/>
          <w:szCs w:val="36"/>
        </w:rPr>
        <w:t>Arab-Israeli Conflict</w:t>
      </w:r>
    </w:p>
    <w:p w:rsidR="00A0235F" w:rsidRDefault="00A0235F" w:rsidP="00A0235F">
      <w:pPr>
        <w:spacing w:after="0" w:line="240" w:lineRule="auto"/>
        <w:rPr>
          <w:sz w:val="20"/>
          <w:szCs w:val="20"/>
        </w:rPr>
      </w:pPr>
      <w:r w:rsidRPr="00451D49">
        <w:rPr>
          <w:sz w:val="20"/>
          <w:szCs w:val="20"/>
        </w:rPr>
        <w:t>References:</w:t>
      </w:r>
    </w:p>
    <w:p w:rsidR="00682D7F" w:rsidRPr="00451D49" w:rsidRDefault="00682D7F" w:rsidP="00A0235F">
      <w:pPr>
        <w:spacing w:after="0" w:line="240" w:lineRule="auto"/>
        <w:rPr>
          <w:sz w:val="20"/>
          <w:szCs w:val="20"/>
        </w:rPr>
      </w:pPr>
      <w:r>
        <w:rPr>
          <w:sz w:val="20"/>
          <w:szCs w:val="20"/>
        </w:rPr>
        <w:tab/>
        <w:t>Global Forces, Chapter 12 (p. 213-231)</w:t>
      </w:r>
    </w:p>
    <w:p w:rsidR="00A0235F" w:rsidRPr="00451D49" w:rsidRDefault="005E7E2C" w:rsidP="00A0235F">
      <w:pPr>
        <w:pStyle w:val="ListParagraph"/>
        <w:spacing w:after="0" w:line="240" w:lineRule="auto"/>
        <w:rPr>
          <w:sz w:val="20"/>
          <w:szCs w:val="20"/>
        </w:rPr>
      </w:pPr>
      <w:r>
        <w:rPr>
          <w:sz w:val="20"/>
          <w:szCs w:val="20"/>
        </w:rPr>
        <w:t>Student Workb</w:t>
      </w:r>
      <w:r w:rsidR="00A0235F">
        <w:rPr>
          <w:sz w:val="20"/>
          <w:szCs w:val="20"/>
        </w:rPr>
        <w:t>ook</w:t>
      </w:r>
      <w:r w:rsidR="00682D7F">
        <w:rPr>
          <w:sz w:val="20"/>
          <w:szCs w:val="20"/>
        </w:rPr>
        <w:t xml:space="preserve"> (p. 59-62; p.</w:t>
      </w:r>
      <w:r w:rsidR="004C1A85">
        <w:rPr>
          <w:sz w:val="20"/>
          <w:szCs w:val="20"/>
        </w:rPr>
        <w:t>164-172)</w:t>
      </w:r>
    </w:p>
    <w:p w:rsidR="00A0235F" w:rsidRPr="00451D49" w:rsidRDefault="00A0235F" w:rsidP="00A0235F">
      <w:pPr>
        <w:pStyle w:val="ListParagraph"/>
        <w:spacing w:after="0" w:line="240" w:lineRule="auto"/>
        <w:rPr>
          <w:sz w:val="20"/>
          <w:szCs w:val="20"/>
        </w:rPr>
      </w:pPr>
      <w:r w:rsidRPr="00451D49">
        <w:rPr>
          <w:sz w:val="20"/>
          <w:szCs w:val="20"/>
        </w:rPr>
        <w:t>Class Notes/ Slide show – campbellswebsoup.weebly.com</w:t>
      </w:r>
    </w:p>
    <w:p w:rsidR="00A0235F" w:rsidRPr="00451D49" w:rsidRDefault="00A0235F" w:rsidP="00A0235F">
      <w:pPr>
        <w:pStyle w:val="ListParagraph"/>
        <w:spacing w:after="0" w:line="240" w:lineRule="auto"/>
        <w:rPr>
          <w:sz w:val="20"/>
          <w:szCs w:val="20"/>
        </w:rPr>
      </w:pPr>
      <w:r w:rsidRPr="00451D49">
        <w:rPr>
          <w:sz w:val="20"/>
          <w:szCs w:val="20"/>
        </w:rPr>
        <w:t>Summary Notes Handout</w:t>
      </w:r>
    </w:p>
    <w:p w:rsidR="0050335B" w:rsidRDefault="0050335B" w:rsidP="00A0235F">
      <w:pPr>
        <w:pStyle w:val="ListParagraph"/>
        <w:spacing w:after="0" w:line="240" w:lineRule="auto"/>
        <w:ind w:left="0"/>
        <w:rPr>
          <w:sz w:val="20"/>
          <w:szCs w:val="20"/>
        </w:rPr>
      </w:pPr>
    </w:p>
    <w:p w:rsidR="0050335B" w:rsidRDefault="0050335B" w:rsidP="00A0235F">
      <w:pPr>
        <w:pStyle w:val="ListParagraph"/>
        <w:spacing w:after="0" w:line="240" w:lineRule="auto"/>
        <w:ind w:left="0"/>
        <w:rPr>
          <w:sz w:val="20"/>
          <w:szCs w:val="20"/>
        </w:rPr>
      </w:pPr>
      <w:r>
        <w:rPr>
          <w:sz w:val="20"/>
          <w:szCs w:val="20"/>
        </w:rPr>
        <w:t xml:space="preserve">Map Assignment </w:t>
      </w:r>
    </w:p>
    <w:p w:rsidR="0050335B" w:rsidRDefault="0050335B" w:rsidP="00A0235F">
      <w:pPr>
        <w:pStyle w:val="ListParagraph"/>
        <w:spacing w:after="0" w:line="240" w:lineRule="auto"/>
        <w:ind w:left="0"/>
        <w:rPr>
          <w:sz w:val="20"/>
          <w:szCs w:val="20"/>
        </w:rPr>
      </w:pPr>
      <w:r>
        <w:rPr>
          <w:sz w:val="20"/>
          <w:szCs w:val="20"/>
        </w:rPr>
        <w:t>Label:</w:t>
      </w:r>
    </w:p>
    <w:p w:rsidR="0050335B" w:rsidRDefault="0050335B" w:rsidP="0050335B">
      <w:pPr>
        <w:pStyle w:val="ListParagraph"/>
        <w:numPr>
          <w:ilvl w:val="0"/>
          <w:numId w:val="2"/>
        </w:numPr>
        <w:spacing w:after="0" w:line="240" w:lineRule="auto"/>
        <w:rPr>
          <w:sz w:val="20"/>
          <w:szCs w:val="20"/>
        </w:rPr>
      </w:pPr>
      <w:r>
        <w:rPr>
          <w:noProof/>
        </w:rPr>
        <w:drawing>
          <wp:anchor distT="0" distB="0" distL="114300" distR="114300" simplePos="0" relativeHeight="251658240" behindDoc="1" locked="0" layoutInCell="1" allowOverlap="1">
            <wp:simplePos x="0" y="0"/>
            <wp:positionH relativeFrom="column">
              <wp:posOffset>3238500</wp:posOffset>
            </wp:positionH>
            <wp:positionV relativeFrom="page">
              <wp:posOffset>2352675</wp:posOffset>
            </wp:positionV>
            <wp:extent cx="3064510" cy="4467225"/>
            <wp:effectExtent l="0" t="0" r="2540" b="9525"/>
            <wp:wrapNone/>
            <wp:docPr id="3" name="Picture 3" descr="Click to view and print the #Israel #Blank #Map with or Withou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to view and print the #Israel #Blank #Map with or Without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64510" cy="4467225"/>
                    </a:xfrm>
                    <a:prstGeom prst="rect">
                      <a:avLst/>
                    </a:prstGeom>
                    <a:noFill/>
                    <a:ln>
                      <a:noFill/>
                    </a:ln>
                  </pic:spPr>
                </pic:pic>
              </a:graphicData>
            </a:graphic>
          </wp:anchor>
        </w:drawing>
      </w:r>
      <w:r>
        <w:rPr>
          <w:sz w:val="20"/>
          <w:szCs w:val="20"/>
        </w:rPr>
        <w:t xml:space="preserve">Israel </w:t>
      </w:r>
      <w:r>
        <w:rPr>
          <w:sz w:val="20"/>
          <w:szCs w:val="20"/>
        </w:rPr>
        <w:tab/>
      </w:r>
      <w:r>
        <w:rPr>
          <w:sz w:val="20"/>
          <w:szCs w:val="20"/>
        </w:rPr>
        <w:tab/>
      </w:r>
      <w:r>
        <w:rPr>
          <w:sz w:val="20"/>
          <w:szCs w:val="20"/>
        </w:rPr>
        <w:tab/>
      </w:r>
    </w:p>
    <w:p w:rsidR="0050335B" w:rsidRDefault="0050335B" w:rsidP="0050335B">
      <w:pPr>
        <w:pStyle w:val="ListParagraph"/>
        <w:numPr>
          <w:ilvl w:val="0"/>
          <w:numId w:val="2"/>
        </w:numPr>
        <w:spacing w:after="0" w:line="240" w:lineRule="auto"/>
        <w:rPr>
          <w:sz w:val="20"/>
          <w:szCs w:val="20"/>
        </w:rPr>
      </w:pPr>
      <w:r>
        <w:rPr>
          <w:sz w:val="20"/>
          <w:szCs w:val="20"/>
        </w:rPr>
        <w:t>Egypt</w:t>
      </w:r>
    </w:p>
    <w:p w:rsidR="0050335B" w:rsidRDefault="0050335B" w:rsidP="0050335B">
      <w:pPr>
        <w:pStyle w:val="ListParagraph"/>
        <w:numPr>
          <w:ilvl w:val="0"/>
          <w:numId w:val="2"/>
        </w:numPr>
        <w:spacing w:after="0" w:line="240" w:lineRule="auto"/>
        <w:rPr>
          <w:sz w:val="20"/>
          <w:szCs w:val="20"/>
        </w:rPr>
      </w:pPr>
      <w:r>
        <w:rPr>
          <w:sz w:val="20"/>
          <w:szCs w:val="20"/>
        </w:rPr>
        <w:t>Jordan</w:t>
      </w:r>
    </w:p>
    <w:p w:rsidR="0050335B" w:rsidRDefault="0050335B" w:rsidP="0050335B">
      <w:pPr>
        <w:pStyle w:val="ListParagraph"/>
        <w:numPr>
          <w:ilvl w:val="0"/>
          <w:numId w:val="2"/>
        </w:numPr>
        <w:spacing w:after="0" w:line="240" w:lineRule="auto"/>
        <w:rPr>
          <w:sz w:val="20"/>
          <w:szCs w:val="20"/>
        </w:rPr>
      </w:pPr>
      <w:r>
        <w:rPr>
          <w:sz w:val="20"/>
          <w:szCs w:val="20"/>
        </w:rPr>
        <w:t>Lebanon</w:t>
      </w:r>
    </w:p>
    <w:p w:rsidR="0050335B" w:rsidRDefault="0050335B" w:rsidP="0050335B">
      <w:pPr>
        <w:pStyle w:val="ListParagraph"/>
        <w:numPr>
          <w:ilvl w:val="0"/>
          <w:numId w:val="2"/>
        </w:numPr>
        <w:spacing w:after="0" w:line="240" w:lineRule="auto"/>
        <w:rPr>
          <w:sz w:val="20"/>
          <w:szCs w:val="20"/>
        </w:rPr>
      </w:pPr>
      <w:r>
        <w:rPr>
          <w:sz w:val="20"/>
          <w:szCs w:val="20"/>
        </w:rPr>
        <w:t>Syria</w:t>
      </w:r>
    </w:p>
    <w:p w:rsidR="0050335B" w:rsidRDefault="0050335B" w:rsidP="00A0235F">
      <w:pPr>
        <w:pStyle w:val="ListParagraph"/>
        <w:spacing w:after="0" w:line="240" w:lineRule="auto"/>
        <w:ind w:left="0"/>
        <w:rPr>
          <w:sz w:val="20"/>
          <w:szCs w:val="20"/>
        </w:rPr>
      </w:pPr>
    </w:p>
    <w:p w:rsidR="0050335B" w:rsidRDefault="0050335B" w:rsidP="0050335B">
      <w:pPr>
        <w:pStyle w:val="ListParagraph"/>
        <w:numPr>
          <w:ilvl w:val="0"/>
          <w:numId w:val="2"/>
        </w:numPr>
        <w:spacing w:after="0" w:line="240" w:lineRule="auto"/>
        <w:rPr>
          <w:sz w:val="20"/>
          <w:szCs w:val="20"/>
        </w:rPr>
      </w:pPr>
      <w:r>
        <w:rPr>
          <w:sz w:val="20"/>
          <w:szCs w:val="20"/>
        </w:rPr>
        <w:t>Jerusalem</w:t>
      </w:r>
    </w:p>
    <w:p w:rsidR="0050335B" w:rsidRDefault="0050335B" w:rsidP="0050335B">
      <w:pPr>
        <w:spacing w:after="0" w:line="240" w:lineRule="auto"/>
        <w:rPr>
          <w:sz w:val="20"/>
          <w:szCs w:val="20"/>
        </w:rPr>
      </w:pPr>
    </w:p>
    <w:p w:rsidR="0050335B" w:rsidRDefault="0050335B" w:rsidP="0050335B">
      <w:pPr>
        <w:pStyle w:val="ListParagraph"/>
        <w:numPr>
          <w:ilvl w:val="0"/>
          <w:numId w:val="2"/>
        </w:numPr>
        <w:spacing w:after="0" w:line="240" w:lineRule="auto"/>
        <w:rPr>
          <w:sz w:val="20"/>
          <w:szCs w:val="20"/>
        </w:rPr>
      </w:pPr>
      <w:r>
        <w:rPr>
          <w:sz w:val="20"/>
          <w:szCs w:val="20"/>
        </w:rPr>
        <w:t>Golan Heights</w:t>
      </w:r>
    </w:p>
    <w:p w:rsidR="0050335B" w:rsidRDefault="0050335B" w:rsidP="0050335B">
      <w:pPr>
        <w:pStyle w:val="ListParagraph"/>
        <w:numPr>
          <w:ilvl w:val="0"/>
          <w:numId w:val="2"/>
        </w:numPr>
        <w:spacing w:after="0" w:line="240" w:lineRule="auto"/>
        <w:rPr>
          <w:sz w:val="20"/>
          <w:szCs w:val="20"/>
        </w:rPr>
      </w:pPr>
      <w:r>
        <w:rPr>
          <w:sz w:val="20"/>
          <w:szCs w:val="20"/>
        </w:rPr>
        <w:t>Gaza Strip</w:t>
      </w:r>
    </w:p>
    <w:p w:rsidR="0050335B" w:rsidRDefault="005727AF" w:rsidP="005727AF">
      <w:pPr>
        <w:pStyle w:val="ListParagraph"/>
        <w:numPr>
          <w:ilvl w:val="0"/>
          <w:numId w:val="2"/>
        </w:numPr>
        <w:spacing w:after="0" w:line="240" w:lineRule="auto"/>
        <w:rPr>
          <w:sz w:val="20"/>
          <w:szCs w:val="20"/>
        </w:rPr>
      </w:pPr>
      <w:r>
        <w:rPr>
          <w:sz w:val="20"/>
          <w:szCs w:val="20"/>
        </w:rPr>
        <w:t>West Bank</w:t>
      </w:r>
    </w:p>
    <w:p w:rsidR="00C803C4" w:rsidRPr="005727AF" w:rsidRDefault="00C803C4" w:rsidP="005727AF">
      <w:pPr>
        <w:pStyle w:val="ListParagraph"/>
        <w:numPr>
          <w:ilvl w:val="0"/>
          <w:numId w:val="2"/>
        </w:numPr>
        <w:spacing w:after="0" w:line="240" w:lineRule="auto"/>
        <w:rPr>
          <w:sz w:val="20"/>
          <w:szCs w:val="20"/>
        </w:rPr>
      </w:pPr>
      <w:r>
        <w:rPr>
          <w:sz w:val="20"/>
          <w:szCs w:val="20"/>
        </w:rPr>
        <w:t xml:space="preserve">Sinai Desert </w:t>
      </w:r>
    </w:p>
    <w:p w:rsidR="0050335B" w:rsidRDefault="0050335B" w:rsidP="00A0235F">
      <w:pPr>
        <w:pStyle w:val="ListParagraph"/>
        <w:spacing w:after="0" w:line="240" w:lineRule="auto"/>
        <w:ind w:left="0"/>
        <w:rPr>
          <w:sz w:val="20"/>
          <w:szCs w:val="20"/>
        </w:rPr>
      </w:pPr>
    </w:p>
    <w:p w:rsidR="0050335B" w:rsidRDefault="0050335B" w:rsidP="00A0235F">
      <w:pPr>
        <w:pStyle w:val="ListParagraph"/>
        <w:spacing w:after="0" w:line="240" w:lineRule="auto"/>
        <w:ind w:left="0"/>
        <w:rPr>
          <w:sz w:val="20"/>
          <w:szCs w:val="20"/>
        </w:rPr>
      </w:pPr>
    </w:p>
    <w:p w:rsidR="00A0235F" w:rsidRPr="00451D49" w:rsidRDefault="00A0235F" w:rsidP="00A0235F">
      <w:pPr>
        <w:pStyle w:val="ListParagraph"/>
        <w:spacing w:after="0" w:line="240" w:lineRule="auto"/>
        <w:ind w:left="0"/>
        <w:rPr>
          <w:sz w:val="20"/>
          <w:szCs w:val="20"/>
        </w:rPr>
      </w:pPr>
      <w:bookmarkStart w:id="0" w:name="_GoBack"/>
      <w:r w:rsidRPr="00451D49">
        <w:rPr>
          <w:sz w:val="20"/>
          <w:szCs w:val="20"/>
        </w:rPr>
        <w:t>Define:</w:t>
      </w:r>
      <w:r w:rsidR="0050335B" w:rsidRPr="0050335B">
        <w:rPr>
          <w:noProof/>
        </w:rPr>
        <w:t xml:space="preserve"> </w:t>
      </w:r>
    </w:p>
    <w:bookmarkEnd w:id="0"/>
    <w:p w:rsidR="00A0235F" w:rsidRPr="00451D49" w:rsidRDefault="00A0235F" w:rsidP="00A0235F">
      <w:pPr>
        <w:pStyle w:val="ListParagraph"/>
        <w:spacing w:after="0" w:line="240" w:lineRule="auto"/>
        <w:ind w:left="0"/>
        <w:rPr>
          <w:sz w:val="20"/>
          <w:szCs w:val="20"/>
        </w:rPr>
      </w:pPr>
      <w:r w:rsidRPr="00451D49">
        <w:rPr>
          <w:sz w:val="20"/>
          <w:szCs w:val="20"/>
        </w:rPr>
        <w:t>Zionism</w:t>
      </w:r>
    </w:p>
    <w:p w:rsidR="00A0235F" w:rsidRDefault="00A0235F" w:rsidP="00A0235F">
      <w:pPr>
        <w:pStyle w:val="ListParagraph"/>
        <w:spacing w:after="0" w:line="240" w:lineRule="auto"/>
        <w:ind w:left="0"/>
        <w:rPr>
          <w:sz w:val="20"/>
          <w:szCs w:val="20"/>
        </w:rPr>
      </w:pPr>
    </w:p>
    <w:p w:rsidR="005727AF" w:rsidRPr="00451D49" w:rsidRDefault="005727AF" w:rsidP="00A0235F">
      <w:pPr>
        <w:pStyle w:val="ListParagraph"/>
        <w:spacing w:after="0" w:line="240" w:lineRule="auto"/>
        <w:ind w:left="0"/>
        <w:rPr>
          <w:sz w:val="20"/>
          <w:szCs w:val="20"/>
        </w:rPr>
      </w:pPr>
    </w:p>
    <w:p w:rsidR="00A0235F" w:rsidRPr="00451D49" w:rsidRDefault="00A0235F" w:rsidP="00A0235F">
      <w:pPr>
        <w:pStyle w:val="ListParagraph"/>
        <w:spacing w:after="0" w:line="240" w:lineRule="auto"/>
        <w:ind w:left="0"/>
        <w:rPr>
          <w:sz w:val="20"/>
          <w:szCs w:val="20"/>
        </w:rPr>
      </w:pPr>
    </w:p>
    <w:p w:rsidR="00A0235F" w:rsidRPr="00451D49" w:rsidRDefault="00A0235F" w:rsidP="00A0235F">
      <w:pPr>
        <w:pStyle w:val="ListParagraph"/>
        <w:spacing w:after="0" w:line="240" w:lineRule="auto"/>
        <w:ind w:left="0"/>
        <w:rPr>
          <w:sz w:val="20"/>
          <w:szCs w:val="20"/>
        </w:rPr>
      </w:pPr>
      <w:r w:rsidRPr="00451D49">
        <w:rPr>
          <w:sz w:val="20"/>
          <w:szCs w:val="20"/>
        </w:rPr>
        <w:t>Jewish Diaspora</w:t>
      </w:r>
    </w:p>
    <w:p w:rsidR="00A0235F" w:rsidRPr="00451D49" w:rsidRDefault="00A0235F" w:rsidP="00A0235F">
      <w:pPr>
        <w:pStyle w:val="ListParagraph"/>
        <w:spacing w:after="0" w:line="240" w:lineRule="auto"/>
        <w:ind w:left="0"/>
        <w:rPr>
          <w:sz w:val="20"/>
          <w:szCs w:val="20"/>
        </w:rPr>
      </w:pPr>
    </w:p>
    <w:p w:rsidR="00A0235F" w:rsidRDefault="00A0235F" w:rsidP="00A0235F">
      <w:pPr>
        <w:pStyle w:val="ListParagraph"/>
        <w:spacing w:after="0" w:line="240" w:lineRule="auto"/>
        <w:ind w:left="0"/>
        <w:rPr>
          <w:sz w:val="20"/>
          <w:szCs w:val="20"/>
        </w:rPr>
      </w:pPr>
    </w:p>
    <w:p w:rsidR="005727AF" w:rsidRDefault="005727AF" w:rsidP="00A0235F">
      <w:pPr>
        <w:pStyle w:val="ListParagraph"/>
        <w:spacing w:after="0" w:line="240" w:lineRule="auto"/>
        <w:ind w:left="0"/>
        <w:rPr>
          <w:sz w:val="20"/>
          <w:szCs w:val="20"/>
        </w:rPr>
      </w:pPr>
    </w:p>
    <w:p w:rsidR="005727AF" w:rsidRDefault="005727AF" w:rsidP="00A0235F">
      <w:pPr>
        <w:pStyle w:val="ListParagraph"/>
        <w:spacing w:after="0" w:line="240" w:lineRule="auto"/>
        <w:ind w:left="0"/>
        <w:rPr>
          <w:sz w:val="20"/>
          <w:szCs w:val="20"/>
        </w:rPr>
      </w:pPr>
      <w:r>
        <w:rPr>
          <w:sz w:val="20"/>
          <w:szCs w:val="20"/>
        </w:rPr>
        <w:t>Anti-Semitism</w:t>
      </w:r>
    </w:p>
    <w:p w:rsidR="005727AF" w:rsidRDefault="005727AF" w:rsidP="00A0235F">
      <w:pPr>
        <w:pStyle w:val="ListParagraph"/>
        <w:spacing w:after="0" w:line="240" w:lineRule="auto"/>
        <w:ind w:left="0"/>
        <w:rPr>
          <w:sz w:val="20"/>
          <w:szCs w:val="20"/>
        </w:rPr>
      </w:pPr>
    </w:p>
    <w:p w:rsidR="005727AF" w:rsidRDefault="005727AF" w:rsidP="00A0235F">
      <w:pPr>
        <w:pStyle w:val="ListParagraph"/>
        <w:spacing w:after="0" w:line="240" w:lineRule="auto"/>
        <w:ind w:left="0"/>
        <w:rPr>
          <w:sz w:val="20"/>
          <w:szCs w:val="20"/>
        </w:rPr>
      </w:pPr>
    </w:p>
    <w:p w:rsidR="005727AF" w:rsidRPr="00451D49" w:rsidRDefault="005727AF" w:rsidP="00A0235F">
      <w:pPr>
        <w:pStyle w:val="ListParagraph"/>
        <w:spacing w:after="0" w:line="240" w:lineRule="auto"/>
        <w:ind w:left="0"/>
        <w:rPr>
          <w:sz w:val="20"/>
          <w:szCs w:val="20"/>
        </w:rPr>
      </w:pPr>
    </w:p>
    <w:p w:rsidR="00A0235F" w:rsidRPr="00451D49" w:rsidRDefault="00A0235F" w:rsidP="00A0235F">
      <w:pPr>
        <w:pStyle w:val="ListParagraph"/>
        <w:spacing w:after="0" w:line="240" w:lineRule="auto"/>
        <w:ind w:left="0"/>
        <w:rPr>
          <w:b/>
          <w:sz w:val="20"/>
          <w:szCs w:val="20"/>
        </w:rPr>
      </w:pPr>
      <w:r w:rsidRPr="00451D49">
        <w:rPr>
          <w:b/>
          <w:sz w:val="20"/>
          <w:szCs w:val="20"/>
        </w:rPr>
        <w:t>Questions:</w:t>
      </w:r>
    </w:p>
    <w:p w:rsidR="00A0235F" w:rsidRPr="00E82B9C" w:rsidRDefault="00A0235F" w:rsidP="00AB677D">
      <w:pPr>
        <w:pStyle w:val="ListParagraph"/>
        <w:numPr>
          <w:ilvl w:val="0"/>
          <w:numId w:val="1"/>
        </w:numPr>
        <w:spacing w:after="0" w:line="240" w:lineRule="auto"/>
        <w:rPr>
          <w:sz w:val="20"/>
          <w:szCs w:val="20"/>
        </w:rPr>
      </w:pPr>
      <w:r w:rsidRPr="00E82B9C">
        <w:rPr>
          <w:sz w:val="20"/>
          <w:szCs w:val="20"/>
        </w:rPr>
        <w:t>In 1916, 1917 and 1918, the British made three contradictory promises regarding the territory of Pale</w:t>
      </w:r>
      <w:r w:rsidR="00E82B9C" w:rsidRPr="00E82B9C">
        <w:rPr>
          <w:sz w:val="20"/>
          <w:szCs w:val="20"/>
        </w:rPr>
        <w:t xml:space="preserve">stine. Identify and explain these contradictory promises </w:t>
      </w:r>
      <w:r w:rsidRPr="00E82B9C">
        <w:rPr>
          <w:sz w:val="20"/>
          <w:szCs w:val="20"/>
        </w:rPr>
        <w:t xml:space="preserve">Britain </w:t>
      </w:r>
      <w:r w:rsidR="00E82B9C" w:rsidRPr="00E82B9C">
        <w:rPr>
          <w:sz w:val="20"/>
          <w:szCs w:val="20"/>
        </w:rPr>
        <w:t>made to Arabs and Jews</w:t>
      </w:r>
      <w:r w:rsidRPr="00E82B9C">
        <w:rPr>
          <w:sz w:val="20"/>
          <w:szCs w:val="20"/>
        </w:rPr>
        <w:t xml:space="preserve"> in </w:t>
      </w:r>
      <w:r w:rsidR="00E82B9C">
        <w:rPr>
          <w:sz w:val="20"/>
          <w:szCs w:val="20"/>
        </w:rPr>
        <w:t xml:space="preserve">regards to Palestine. </w:t>
      </w:r>
    </w:p>
    <w:p w:rsidR="00A0235F" w:rsidRPr="00451D49" w:rsidRDefault="00A0235F" w:rsidP="00A0235F">
      <w:pPr>
        <w:spacing w:after="0" w:line="240" w:lineRule="auto"/>
        <w:rPr>
          <w:sz w:val="20"/>
          <w:szCs w:val="20"/>
        </w:rPr>
      </w:pPr>
    </w:p>
    <w:p w:rsidR="00A0235F" w:rsidRPr="00451D49" w:rsidRDefault="00A0235F" w:rsidP="00A0235F">
      <w:pPr>
        <w:spacing w:after="0" w:line="240" w:lineRule="auto"/>
        <w:rPr>
          <w:sz w:val="20"/>
          <w:szCs w:val="20"/>
        </w:rPr>
      </w:pPr>
    </w:p>
    <w:p w:rsidR="00A0235F" w:rsidRPr="00451D49" w:rsidRDefault="00A0235F" w:rsidP="00A0235F">
      <w:pPr>
        <w:spacing w:after="0" w:line="240" w:lineRule="auto"/>
        <w:rPr>
          <w:sz w:val="20"/>
          <w:szCs w:val="20"/>
        </w:rPr>
      </w:pPr>
    </w:p>
    <w:p w:rsidR="00A0235F" w:rsidRPr="00451D49" w:rsidRDefault="00A0235F" w:rsidP="00A0235F">
      <w:pPr>
        <w:spacing w:after="0" w:line="240" w:lineRule="auto"/>
        <w:rPr>
          <w:sz w:val="20"/>
          <w:szCs w:val="20"/>
        </w:rPr>
      </w:pPr>
    </w:p>
    <w:p w:rsidR="00A0235F" w:rsidRDefault="00A0235F" w:rsidP="00A0235F">
      <w:pPr>
        <w:spacing w:after="0" w:line="240" w:lineRule="auto"/>
        <w:rPr>
          <w:sz w:val="20"/>
          <w:szCs w:val="20"/>
        </w:rPr>
      </w:pPr>
    </w:p>
    <w:p w:rsidR="00273D23" w:rsidRPr="00451D49" w:rsidRDefault="00273D23" w:rsidP="00A0235F">
      <w:pPr>
        <w:spacing w:after="0" w:line="240" w:lineRule="auto"/>
        <w:rPr>
          <w:sz w:val="20"/>
          <w:szCs w:val="20"/>
        </w:rPr>
      </w:pPr>
    </w:p>
    <w:p w:rsidR="00A0235F" w:rsidRPr="00451D49" w:rsidRDefault="00A0235F" w:rsidP="00A0235F">
      <w:pPr>
        <w:pStyle w:val="ListParagraph"/>
        <w:numPr>
          <w:ilvl w:val="0"/>
          <w:numId w:val="1"/>
        </w:numPr>
        <w:spacing w:after="0" w:line="240" w:lineRule="auto"/>
        <w:rPr>
          <w:sz w:val="20"/>
          <w:szCs w:val="20"/>
        </w:rPr>
      </w:pPr>
      <w:r w:rsidRPr="00451D49">
        <w:rPr>
          <w:sz w:val="20"/>
          <w:szCs w:val="20"/>
        </w:rPr>
        <w:t>Define the ‘Mandate System.’ Why might it have been viewed by Palestinians as ‘New Imperialism?’</w:t>
      </w:r>
    </w:p>
    <w:p w:rsidR="00A0235F" w:rsidRPr="00451D49" w:rsidRDefault="00A0235F" w:rsidP="00A0235F">
      <w:pPr>
        <w:spacing w:after="0" w:line="240" w:lineRule="auto"/>
        <w:rPr>
          <w:sz w:val="20"/>
          <w:szCs w:val="20"/>
        </w:rPr>
      </w:pPr>
    </w:p>
    <w:p w:rsidR="00A0235F" w:rsidRPr="00451D49" w:rsidRDefault="00A0235F" w:rsidP="00A0235F">
      <w:pPr>
        <w:spacing w:after="0" w:line="240" w:lineRule="auto"/>
        <w:rPr>
          <w:sz w:val="20"/>
          <w:szCs w:val="20"/>
        </w:rPr>
      </w:pPr>
    </w:p>
    <w:p w:rsidR="00A0235F" w:rsidRPr="00451D49" w:rsidRDefault="00A0235F" w:rsidP="00A0235F">
      <w:pPr>
        <w:spacing w:after="0" w:line="240" w:lineRule="auto"/>
        <w:rPr>
          <w:sz w:val="20"/>
          <w:szCs w:val="20"/>
        </w:rPr>
      </w:pPr>
    </w:p>
    <w:p w:rsidR="00A0235F" w:rsidRPr="00451D49" w:rsidRDefault="00A0235F" w:rsidP="00A0235F">
      <w:pPr>
        <w:spacing w:after="0" w:line="240" w:lineRule="auto"/>
        <w:rPr>
          <w:sz w:val="20"/>
          <w:szCs w:val="20"/>
        </w:rPr>
      </w:pPr>
    </w:p>
    <w:p w:rsidR="00A0235F" w:rsidRPr="00451D49" w:rsidRDefault="00A0235F" w:rsidP="00A0235F">
      <w:pPr>
        <w:spacing w:after="0" w:line="240" w:lineRule="auto"/>
        <w:rPr>
          <w:sz w:val="20"/>
          <w:szCs w:val="20"/>
        </w:rPr>
      </w:pPr>
    </w:p>
    <w:p w:rsidR="000A1609" w:rsidRDefault="000A1609" w:rsidP="00A0235F">
      <w:pPr>
        <w:spacing w:after="0" w:line="240" w:lineRule="auto"/>
        <w:rPr>
          <w:sz w:val="20"/>
          <w:szCs w:val="20"/>
        </w:rPr>
      </w:pPr>
      <w:r>
        <w:rPr>
          <w:sz w:val="20"/>
          <w:szCs w:val="20"/>
        </w:rPr>
        <w:t>Read the following excerpts:</w:t>
      </w:r>
    </w:p>
    <w:p w:rsidR="000A1609" w:rsidRDefault="000A1609" w:rsidP="00A0235F">
      <w:pPr>
        <w:spacing w:after="0" w:line="240" w:lineRule="auto"/>
        <w:rPr>
          <w:sz w:val="20"/>
          <w:szCs w:val="20"/>
        </w:rPr>
      </w:pPr>
    </w:p>
    <w:p w:rsidR="00A0235F" w:rsidRPr="00451D49" w:rsidRDefault="00A0235F" w:rsidP="00A0235F">
      <w:pPr>
        <w:spacing w:after="0" w:line="240" w:lineRule="auto"/>
        <w:rPr>
          <w:sz w:val="20"/>
          <w:szCs w:val="20"/>
        </w:rPr>
      </w:pPr>
      <w:r w:rsidRPr="00451D49">
        <w:rPr>
          <w:sz w:val="20"/>
          <w:szCs w:val="20"/>
        </w:rPr>
        <w:t xml:space="preserve">According to </w:t>
      </w:r>
      <w:r w:rsidRPr="003C134C">
        <w:rPr>
          <w:b/>
          <w:sz w:val="20"/>
          <w:szCs w:val="20"/>
        </w:rPr>
        <w:t>the Covenant of the League of Nations 1919 – Article 22 states</w:t>
      </w:r>
      <w:r w:rsidR="003C134C">
        <w:rPr>
          <w:sz w:val="20"/>
          <w:szCs w:val="20"/>
        </w:rPr>
        <w:t xml:space="preserve"> (a</w:t>
      </w:r>
      <w:r w:rsidRPr="00451D49">
        <w:rPr>
          <w:sz w:val="20"/>
          <w:szCs w:val="20"/>
        </w:rPr>
        <w:t>n ideal?):</w:t>
      </w:r>
    </w:p>
    <w:p w:rsidR="00A0235F" w:rsidRDefault="00A0235F" w:rsidP="00A0235F">
      <w:pPr>
        <w:spacing w:after="0" w:line="240" w:lineRule="auto"/>
        <w:rPr>
          <w:sz w:val="16"/>
          <w:szCs w:val="16"/>
        </w:rPr>
      </w:pPr>
    </w:p>
    <w:p w:rsidR="00A0235F" w:rsidRDefault="00A0235F" w:rsidP="00A0235F">
      <w:pPr>
        <w:spacing w:after="0" w:line="240" w:lineRule="auto"/>
        <w:rPr>
          <w:i/>
          <w:sz w:val="18"/>
          <w:szCs w:val="18"/>
        </w:rPr>
      </w:pPr>
      <w:r w:rsidRPr="00451D49">
        <w:rPr>
          <w:i/>
          <w:sz w:val="18"/>
          <w:szCs w:val="18"/>
        </w:rPr>
        <w:t>‘Certain communities formerly belonging to the Turkish (Ottoman) Empire have reached a stage</w:t>
      </w:r>
      <w:r>
        <w:rPr>
          <w:i/>
          <w:sz w:val="18"/>
          <w:szCs w:val="18"/>
        </w:rPr>
        <w:t xml:space="preserve"> of development where their existence as independent nations can be provisionally recognized subject to the rendering of administrative advice and assistance by a Mandatory until such time as they are able to stand alone. The wishes of these communities must be a principal of consideration in the selection of the Mandatory.’</w:t>
      </w:r>
    </w:p>
    <w:p w:rsidR="00A0235F" w:rsidRDefault="00A0235F" w:rsidP="00A0235F">
      <w:pPr>
        <w:spacing w:after="0" w:line="240" w:lineRule="auto"/>
        <w:rPr>
          <w:i/>
          <w:sz w:val="18"/>
          <w:szCs w:val="18"/>
        </w:rPr>
      </w:pPr>
    </w:p>
    <w:p w:rsidR="00A0235F" w:rsidRPr="00451D49" w:rsidRDefault="00A0235F" w:rsidP="00A0235F">
      <w:pPr>
        <w:spacing w:after="0" w:line="240" w:lineRule="auto"/>
        <w:rPr>
          <w:sz w:val="20"/>
          <w:szCs w:val="20"/>
        </w:rPr>
      </w:pPr>
      <w:r w:rsidRPr="00451D49">
        <w:rPr>
          <w:sz w:val="20"/>
          <w:szCs w:val="20"/>
        </w:rPr>
        <w:t xml:space="preserve">According to </w:t>
      </w:r>
      <w:r w:rsidRPr="003C134C">
        <w:rPr>
          <w:b/>
          <w:sz w:val="20"/>
          <w:szCs w:val="20"/>
        </w:rPr>
        <w:t>the Palestinian Mandate – 1922</w:t>
      </w:r>
      <w:r w:rsidRPr="00451D49">
        <w:rPr>
          <w:sz w:val="20"/>
          <w:szCs w:val="20"/>
        </w:rPr>
        <w:t xml:space="preserve"> (the reality?):</w:t>
      </w:r>
    </w:p>
    <w:p w:rsidR="00A0235F" w:rsidRDefault="00A0235F" w:rsidP="00A0235F">
      <w:pPr>
        <w:spacing w:after="0" w:line="240" w:lineRule="auto"/>
        <w:rPr>
          <w:sz w:val="18"/>
          <w:szCs w:val="18"/>
        </w:rPr>
      </w:pPr>
    </w:p>
    <w:p w:rsidR="00A0235F" w:rsidRPr="00451D49" w:rsidRDefault="00A0235F" w:rsidP="00A0235F">
      <w:pPr>
        <w:spacing w:after="0" w:line="240" w:lineRule="auto"/>
        <w:rPr>
          <w:i/>
          <w:sz w:val="18"/>
          <w:szCs w:val="18"/>
        </w:rPr>
      </w:pPr>
      <w:r>
        <w:rPr>
          <w:i/>
          <w:sz w:val="18"/>
          <w:szCs w:val="18"/>
        </w:rPr>
        <w:t>‘Whereas the Principled Allied Powers have also agreed that the Mandatory should be responsible for putting into effect the declaration originally made on November 2</w:t>
      </w:r>
      <w:r w:rsidRPr="00451D49">
        <w:rPr>
          <w:i/>
          <w:sz w:val="18"/>
          <w:szCs w:val="18"/>
          <w:vertAlign w:val="superscript"/>
        </w:rPr>
        <w:t>nd</w:t>
      </w:r>
      <w:r>
        <w:rPr>
          <w:i/>
          <w:sz w:val="18"/>
          <w:szCs w:val="18"/>
        </w:rPr>
        <w:t>, 1917, by the Government of His Britannic Majesty, and adopted by the said Powers, in favor of the establishment in Palestine of a national homes for the Jewish people….Whereas recognition has thereby been given to the historical connection of the Jewish people with Palestine and to the grounds for reconstitution their national home in that country….The Mandatory shall have full power of legislation and of administration.’</w:t>
      </w:r>
    </w:p>
    <w:p w:rsidR="00A0235F" w:rsidRDefault="00A0235F" w:rsidP="00A0235F">
      <w:pPr>
        <w:spacing w:after="0" w:line="240" w:lineRule="auto"/>
        <w:rPr>
          <w:sz w:val="18"/>
          <w:szCs w:val="18"/>
        </w:rPr>
      </w:pPr>
    </w:p>
    <w:p w:rsidR="00A0235F" w:rsidRDefault="00A0235F" w:rsidP="00A0235F">
      <w:pPr>
        <w:pStyle w:val="ListParagraph"/>
        <w:numPr>
          <w:ilvl w:val="0"/>
          <w:numId w:val="1"/>
        </w:numPr>
        <w:spacing w:after="0" w:line="240" w:lineRule="auto"/>
        <w:rPr>
          <w:sz w:val="20"/>
          <w:szCs w:val="18"/>
        </w:rPr>
      </w:pPr>
      <w:r>
        <w:rPr>
          <w:sz w:val="20"/>
          <w:szCs w:val="18"/>
        </w:rPr>
        <w:t>Given that the population of Palestine was 95% Arab (not Jewish) at the end of WWI, refer to the two excerpts above and determine how the Palestinian Mandate contradicts some of the terms laid out in Article 22.</w:t>
      </w:r>
    </w:p>
    <w:p w:rsidR="00A0235F" w:rsidRDefault="00A0235F" w:rsidP="00A0235F">
      <w:pPr>
        <w:spacing w:after="0" w:line="240" w:lineRule="auto"/>
        <w:rPr>
          <w:sz w:val="20"/>
          <w:szCs w:val="18"/>
        </w:rPr>
      </w:pPr>
    </w:p>
    <w:p w:rsidR="00A0235F" w:rsidRDefault="00A0235F" w:rsidP="00A0235F">
      <w:pPr>
        <w:spacing w:after="0" w:line="240" w:lineRule="auto"/>
        <w:rPr>
          <w:sz w:val="20"/>
          <w:szCs w:val="18"/>
        </w:rPr>
      </w:pPr>
    </w:p>
    <w:p w:rsidR="00A0235F" w:rsidRDefault="00A0235F" w:rsidP="00A0235F">
      <w:pPr>
        <w:spacing w:after="0" w:line="240" w:lineRule="auto"/>
        <w:rPr>
          <w:sz w:val="20"/>
          <w:szCs w:val="18"/>
        </w:rPr>
      </w:pPr>
    </w:p>
    <w:p w:rsidR="003C134C" w:rsidRDefault="003C134C" w:rsidP="00A0235F">
      <w:pPr>
        <w:spacing w:after="0" w:line="240" w:lineRule="auto"/>
        <w:rPr>
          <w:sz w:val="20"/>
          <w:szCs w:val="18"/>
        </w:rPr>
      </w:pPr>
    </w:p>
    <w:p w:rsidR="003C134C" w:rsidRDefault="003C134C" w:rsidP="00A0235F">
      <w:pPr>
        <w:spacing w:after="0" w:line="240" w:lineRule="auto"/>
        <w:rPr>
          <w:sz w:val="20"/>
          <w:szCs w:val="18"/>
        </w:rPr>
      </w:pPr>
    </w:p>
    <w:p w:rsidR="00A0235F" w:rsidRDefault="00A0235F" w:rsidP="00A0235F">
      <w:pPr>
        <w:spacing w:after="0" w:line="240" w:lineRule="auto"/>
        <w:rPr>
          <w:sz w:val="20"/>
          <w:szCs w:val="18"/>
        </w:rPr>
      </w:pPr>
    </w:p>
    <w:p w:rsidR="00A0235F" w:rsidRDefault="00A0235F" w:rsidP="00A0235F">
      <w:pPr>
        <w:pStyle w:val="ListParagraph"/>
        <w:numPr>
          <w:ilvl w:val="0"/>
          <w:numId w:val="1"/>
        </w:numPr>
        <w:spacing w:after="0" w:line="240" w:lineRule="auto"/>
        <w:rPr>
          <w:sz w:val="20"/>
          <w:szCs w:val="18"/>
        </w:rPr>
      </w:pPr>
      <w:r>
        <w:rPr>
          <w:sz w:val="20"/>
          <w:szCs w:val="18"/>
        </w:rPr>
        <w:t>Explain why the British turned to the United Nations to solve the problems of Palestine and what the UN decided to do about it. Also, what was the response by Jews and Arabs to the UN compromise?</w:t>
      </w:r>
    </w:p>
    <w:p w:rsidR="00A0235F" w:rsidRDefault="00A0235F" w:rsidP="00A0235F">
      <w:pPr>
        <w:spacing w:after="0" w:line="240" w:lineRule="auto"/>
        <w:rPr>
          <w:sz w:val="20"/>
          <w:szCs w:val="18"/>
        </w:rPr>
      </w:pPr>
    </w:p>
    <w:p w:rsidR="00A0235F" w:rsidRDefault="00A0235F" w:rsidP="00A0235F">
      <w:pPr>
        <w:spacing w:after="0" w:line="240" w:lineRule="auto"/>
        <w:rPr>
          <w:sz w:val="20"/>
          <w:szCs w:val="18"/>
        </w:rPr>
      </w:pPr>
    </w:p>
    <w:p w:rsidR="003C134C" w:rsidRPr="000A1609" w:rsidRDefault="003C134C" w:rsidP="000A1609">
      <w:pPr>
        <w:spacing w:after="0" w:line="240" w:lineRule="auto"/>
        <w:rPr>
          <w:sz w:val="20"/>
          <w:szCs w:val="18"/>
        </w:rPr>
      </w:pPr>
    </w:p>
    <w:p w:rsidR="003C134C" w:rsidRDefault="003C134C" w:rsidP="003C134C">
      <w:pPr>
        <w:spacing w:after="0" w:line="240" w:lineRule="auto"/>
        <w:rPr>
          <w:sz w:val="20"/>
          <w:szCs w:val="18"/>
        </w:rPr>
      </w:pPr>
    </w:p>
    <w:p w:rsidR="003C134C" w:rsidRPr="003C134C" w:rsidRDefault="003C134C" w:rsidP="003C134C">
      <w:pPr>
        <w:spacing w:after="0" w:line="240" w:lineRule="auto"/>
        <w:rPr>
          <w:sz w:val="20"/>
          <w:szCs w:val="18"/>
        </w:rPr>
      </w:pPr>
    </w:p>
    <w:p w:rsidR="00A0235F" w:rsidRDefault="00A0235F" w:rsidP="00A0235F">
      <w:pPr>
        <w:spacing w:after="0" w:line="240" w:lineRule="auto"/>
        <w:rPr>
          <w:sz w:val="20"/>
          <w:szCs w:val="18"/>
        </w:rPr>
      </w:pPr>
    </w:p>
    <w:p w:rsidR="000A1609" w:rsidRDefault="000A1609" w:rsidP="00A0235F">
      <w:pPr>
        <w:spacing w:after="0" w:line="240" w:lineRule="auto"/>
        <w:rPr>
          <w:sz w:val="20"/>
          <w:szCs w:val="18"/>
        </w:rPr>
      </w:pPr>
    </w:p>
    <w:p w:rsidR="000A1609" w:rsidRPr="000A1609" w:rsidRDefault="008140B7" w:rsidP="000A1609">
      <w:pPr>
        <w:pStyle w:val="ListParagraph"/>
        <w:numPr>
          <w:ilvl w:val="0"/>
          <w:numId w:val="1"/>
        </w:numPr>
        <w:spacing w:after="0" w:line="240" w:lineRule="auto"/>
        <w:rPr>
          <w:sz w:val="20"/>
          <w:szCs w:val="18"/>
        </w:rPr>
      </w:pPr>
      <w:r>
        <w:rPr>
          <w:sz w:val="20"/>
          <w:szCs w:val="18"/>
        </w:rPr>
        <w:t xml:space="preserve">The UN’s Partition Plan was ultimately decided on the battlefield – the Arab-Israeli War (1948). What </w:t>
      </w:r>
      <w:r w:rsidRPr="008140B7">
        <w:rPr>
          <w:b/>
          <w:sz w:val="20"/>
          <w:szCs w:val="18"/>
        </w:rPr>
        <w:t>immediate impact</w:t>
      </w:r>
      <w:r>
        <w:rPr>
          <w:sz w:val="20"/>
          <w:szCs w:val="18"/>
        </w:rPr>
        <w:t xml:space="preserve"> did the creation of the state of Israel have on the Palestinians. How would this prove to be problematic for Israeli-Palestinian relations in future (and among Arab nations)?</w:t>
      </w:r>
    </w:p>
    <w:p w:rsidR="000A1609" w:rsidRDefault="000A1609" w:rsidP="00A0235F">
      <w:pPr>
        <w:spacing w:after="0" w:line="240" w:lineRule="auto"/>
        <w:rPr>
          <w:sz w:val="20"/>
          <w:szCs w:val="18"/>
        </w:rPr>
      </w:pPr>
    </w:p>
    <w:p w:rsidR="000A1609" w:rsidRDefault="000A1609" w:rsidP="00A0235F">
      <w:pPr>
        <w:spacing w:after="0" w:line="240" w:lineRule="auto"/>
        <w:rPr>
          <w:sz w:val="20"/>
          <w:szCs w:val="18"/>
        </w:rPr>
      </w:pPr>
    </w:p>
    <w:p w:rsidR="000A1609" w:rsidRDefault="000A1609" w:rsidP="00A0235F">
      <w:pPr>
        <w:spacing w:after="0" w:line="240" w:lineRule="auto"/>
        <w:rPr>
          <w:sz w:val="20"/>
          <w:szCs w:val="18"/>
        </w:rPr>
      </w:pPr>
    </w:p>
    <w:p w:rsidR="000A1609" w:rsidRDefault="000A1609" w:rsidP="00A0235F">
      <w:pPr>
        <w:spacing w:after="0" w:line="240" w:lineRule="auto"/>
        <w:rPr>
          <w:sz w:val="20"/>
          <w:szCs w:val="18"/>
        </w:rPr>
      </w:pPr>
    </w:p>
    <w:p w:rsidR="000A1609" w:rsidRDefault="000A1609" w:rsidP="00A0235F">
      <w:pPr>
        <w:spacing w:after="0" w:line="240" w:lineRule="auto"/>
        <w:rPr>
          <w:sz w:val="20"/>
          <w:szCs w:val="18"/>
        </w:rPr>
      </w:pPr>
    </w:p>
    <w:p w:rsidR="00273D23" w:rsidRDefault="00273D23" w:rsidP="00A0235F">
      <w:pPr>
        <w:spacing w:after="0" w:line="240" w:lineRule="auto"/>
        <w:rPr>
          <w:sz w:val="20"/>
          <w:szCs w:val="18"/>
        </w:rPr>
      </w:pPr>
    </w:p>
    <w:p w:rsidR="000A1609" w:rsidRDefault="000A1609" w:rsidP="00A0235F">
      <w:pPr>
        <w:spacing w:after="0" w:line="240" w:lineRule="auto"/>
        <w:rPr>
          <w:sz w:val="20"/>
          <w:szCs w:val="18"/>
        </w:rPr>
      </w:pPr>
    </w:p>
    <w:p w:rsidR="00273D23" w:rsidRDefault="00273D23" w:rsidP="00A0235F">
      <w:pPr>
        <w:spacing w:after="0" w:line="240" w:lineRule="auto"/>
        <w:rPr>
          <w:sz w:val="20"/>
          <w:szCs w:val="18"/>
        </w:rPr>
      </w:pPr>
    </w:p>
    <w:p w:rsidR="00273D23" w:rsidRDefault="00273D23" w:rsidP="00A0235F">
      <w:pPr>
        <w:spacing w:after="0" w:line="240" w:lineRule="auto"/>
        <w:rPr>
          <w:sz w:val="20"/>
          <w:szCs w:val="18"/>
        </w:rPr>
      </w:pPr>
    </w:p>
    <w:p w:rsidR="00273D23" w:rsidRDefault="00273D23" w:rsidP="00A0235F">
      <w:pPr>
        <w:spacing w:after="0" w:line="240" w:lineRule="auto"/>
        <w:rPr>
          <w:sz w:val="20"/>
          <w:szCs w:val="18"/>
        </w:rPr>
      </w:pPr>
    </w:p>
    <w:p w:rsidR="00273D23" w:rsidRDefault="00273D23" w:rsidP="00A0235F">
      <w:pPr>
        <w:spacing w:after="0" w:line="240" w:lineRule="auto"/>
        <w:rPr>
          <w:sz w:val="20"/>
          <w:szCs w:val="18"/>
        </w:rPr>
      </w:pPr>
    </w:p>
    <w:p w:rsidR="00273D23" w:rsidRDefault="00273D23" w:rsidP="00A0235F">
      <w:pPr>
        <w:spacing w:after="0" w:line="240" w:lineRule="auto"/>
        <w:rPr>
          <w:sz w:val="20"/>
          <w:szCs w:val="18"/>
        </w:rPr>
      </w:pPr>
    </w:p>
    <w:p w:rsidR="00A0235F" w:rsidRDefault="00A0235F" w:rsidP="00273D23">
      <w:pPr>
        <w:pStyle w:val="ListParagraph"/>
        <w:numPr>
          <w:ilvl w:val="0"/>
          <w:numId w:val="1"/>
        </w:numPr>
        <w:spacing w:after="0" w:line="240" w:lineRule="auto"/>
        <w:rPr>
          <w:sz w:val="20"/>
          <w:szCs w:val="18"/>
        </w:rPr>
      </w:pPr>
      <w:r w:rsidRPr="000A1609">
        <w:rPr>
          <w:sz w:val="20"/>
          <w:szCs w:val="18"/>
        </w:rPr>
        <w:t>Fill in the details required for each of the following conflicts in the Arab-Israeli conflict</w:t>
      </w:r>
      <w:r w:rsidR="00273D23">
        <w:rPr>
          <w:sz w:val="20"/>
          <w:szCs w:val="18"/>
        </w:rPr>
        <w:t xml:space="preserve"> (next page)</w:t>
      </w:r>
      <w:r w:rsidRPr="000A1609">
        <w:rPr>
          <w:sz w:val="20"/>
          <w:szCs w:val="18"/>
        </w:rPr>
        <w:t>:</w:t>
      </w:r>
    </w:p>
    <w:p w:rsidR="00273D23" w:rsidRPr="00273D23" w:rsidRDefault="00273D23" w:rsidP="00273D23">
      <w:pPr>
        <w:pStyle w:val="ListParagraph"/>
        <w:spacing w:after="0" w:line="240" w:lineRule="auto"/>
        <w:ind w:left="360"/>
        <w:rPr>
          <w:sz w:val="20"/>
          <w:szCs w:val="20"/>
        </w:rPr>
      </w:pPr>
      <w:r w:rsidRPr="00273D23">
        <w:rPr>
          <w:sz w:val="20"/>
          <w:szCs w:val="20"/>
        </w:rPr>
        <w:t>*Note: there are no simple answers in defining ‘aggressors,’ for point of view must be considered – try and understand the conflict from a neutral position and explain as objectively as one can. If you considered one side the aggressor, consider also how they might feel as ‘victims.’</w:t>
      </w:r>
    </w:p>
    <w:p w:rsidR="00273D23" w:rsidRPr="00273D23" w:rsidRDefault="00273D23" w:rsidP="00273D23">
      <w:pPr>
        <w:pStyle w:val="ListParagraph"/>
        <w:spacing w:after="0" w:line="240" w:lineRule="auto"/>
        <w:ind w:left="360"/>
        <w:rPr>
          <w:sz w:val="20"/>
          <w:szCs w:val="18"/>
        </w:rPr>
      </w:pPr>
    </w:p>
    <w:tbl>
      <w:tblPr>
        <w:tblStyle w:val="TableGrid"/>
        <w:tblW w:w="0" w:type="auto"/>
        <w:tblLook w:val="04A0" w:firstRow="1" w:lastRow="0" w:firstColumn="1" w:lastColumn="0" w:noHBand="0" w:noVBand="1"/>
      </w:tblPr>
      <w:tblGrid>
        <w:gridCol w:w="1885"/>
        <w:gridCol w:w="3510"/>
        <w:gridCol w:w="3955"/>
      </w:tblGrid>
      <w:tr w:rsidR="00A0235F" w:rsidTr="00A0235F">
        <w:tc>
          <w:tcPr>
            <w:tcW w:w="1885" w:type="dxa"/>
          </w:tcPr>
          <w:p w:rsidR="00A0235F" w:rsidRDefault="00A0235F"/>
        </w:tc>
        <w:tc>
          <w:tcPr>
            <w:tcW w:w="3510" w:type="dxa"/>
          </w:tcPr>
          <w:p w:rsidR="00A0235F" w:rsidRPr="00A0235F" w:rsidRDefault="00A0235F" w:rsidP="00A0235F">
            <w:pPr>
              <w:jc w:val="center"/>
              <w:rPr>
                <w:b/>
                <w:sz w:val="20"/>
                <w:szCs w:val="20"/>
              </w:rPr>
            </w:pPr>
            <w:r w:rsidRPr="00A0235F">
              <w:rPr>
                <w:b/>
                <w:sz w:val="20"/>
                <w:szCs w:val="20"/>
              </w:rPr>
              <w:t>Palestinian War/Arab-Israeli War, 1948</w:t>
            </w:r>
          </w:p>
        </w:tc>
        <w:tc>
          <w:tcPr>
            <w:tcW w:w="3955" w:type="dxa"/>
          </w:tcPr>
          <w:p w:rsidR="00A0235F" w:rsidRPr="00A0235F" w:rsidRDefault="00A0235F" w:rsidP="00A0235F">
            <w:pPr>
              <w:jc w:val="center"/>
              <w:rPr>
                <w:b/>
                <w:sz w:val="20"/>
                <w:szCs w:val="20"/>
              </w:rPr>
            </w:pPr>
            <w:r w:rsidRPr="00A0235F">
              <w:rPr>
                <w:b/>
                <w:sz w:val="20"/>
                <w:szCs w:val="20"/>
              </w:rPr>
              <w:t>Suez War, 1956</w:t>
            </w:r>
          </w:p>
        </w:tc>
      </w:tr>
      <w:tr w:rsidR="00A0235F" w:rsidTr="00A0235F">
        <w:tc>
          <w:tcPr>
            <w:tcW w:w="1885" w:type="dxa"/>
          </w:tcPr>
          <w:p w:rsidR="00A0235F" w:rsidRDefault="00A0235F">
            <w:pPr>
              <w:rPr>
                <w:b/>
                <w:sz w:val="20"/>
                <w:szCs w:val="20"/>
              </w:rPr>
            </w:pPr>
            <w:r w:rsidRPr="00A0235F">
              <w:rPr>
                <w:b/>
                <w:sz w:val="20"/>
                <w:szCs w:val="20"/>
              </w:rPr>
              <w:t>Key Players</w:t>
            </w:r>
          </w:p>
          <w:p w:rsidR="000A1609" w:rsidRDefault="000A1609" w:rsidP="000A1609">
            <w:pPr>
              <w:pStyle w:val="ListParagraph"/>
              <w:numPr>
                <w:ilvl w:val="0"/>
                <w:numId w:val="3"/>
              </w:numPr>
              <w:ind w:left="504" w:hanging="144"/>
              <w:rPr>
                <w:b/>
                <w:sz w:val="20"/>
                <w:szCs w:val="20"/>
              </w:rPr>
            </w:pPr>
            <w:r>
              <w:rPr>
                <w:b/>
                <w:sz w:val="20"/>
                <w:szCs w:val="20"/>
              </w:rPr>
              <w:t>Nations</w:t>
            </w:r>
          </w:p>
          <w:p w:rsidR="000A1609" w:rsidRPr="000A1609" w:rsidRDefault="000A1609" w:rsidP="000A1609">
            <w:pPr>
              <w:pStyle w:val="ListParagraph"/>
              <w:numPr>
                <w:ilvl w:val="0"/>
                <w:numId w:val="3"/>
              </w:numPr>
              <w:ind w:left="504" w:hanging="144"/>
              <w:rPr>
                <w:b/>
                <w:sz w:val="20"/>
                <w:szCs w:val="20"/>
              </w:rPr>
            </w:pPr>
            <w:r>
              <w:rPr>
                <w:b/>
                <w:sz w:val="20"/>
                <w:szCs w:val="20"/>
              </w:rPr>
              <w:t xml:space="preserve">Leaders </w:t>
            </w:r>
          </w:p>
          <w:p w:rsidR="00A0235F" w:rsidRPr="00A0235F" w:rsidRDefault="00A0235F">
            <w:pPr>
              <w:rPr>
                <w:b/>
                <w:sz w:val="20"/>
                <w:szCs w:val="20"/>
              </w:rPr>
            </w:pPr>
          </w:p>
        </w:tc>
        <w:tc>
          <w:tcPr>
            <w:tcW w:w="3510" w:type="dxa"/>
          </w:tcPr>
          <w:p w:rsidR="00A0235F" w:rsidRDefault="00A0235F"/>
        </w:tc>
        <w:tc>
          <w:tcPr>
            <w:tcW w:w="3955" w:type="dxa"/>
          </w:tcPr>
          <w:p w:rsidR="00A0235F" w:rsidRDefault="00A0235F"/>
        </w:tc>
      </w:tr>
      <w:tr w:rsidR="00A0235F" w:rsidTr="00A0235F">
        <w:tc>
          <w:tcPr>
            <w:tcW w:w="1885" w:type="dxa"/>
          </w:tcPr>
          <w:p w:rsidR="00A0235F" w:rsidRDefault="00A0235F">
            <w:pPr>
              <w:rPr>
                <w:sz w:val="20"/>
                <w:szCs w:val="20"/>
              </w:rPr>
            </w:pPr>
          </w:p>
          <w:p w:rsidR="00A0235F" w:rsidRDefault="00A0235F">
            <w:pPr>
              <w:rPr>
                <w:sz w:val="20"/>
                <w:szCs w:val="20"/>
              </w:rPr>
            </w:pPr>
          </w:p>
          <w:p w:rsidR="000A1609" w:rsidRPr="000A1609" w:rsidRDefault="008140B7" w:rsidP="000A1609">
            <w:pPr>
              <w:pStyle w:val="ListParagraph"/>
              <w:numPr>
                <w:ilvl w:val="0"/>
                <w:numId w:val="4"/>
              </w:numPr>
              <w:ind w:left="504" w:hanging="144"/>
              <w:rPr>
                <w:b/>
                <w:sz w:val="20"/>
                <w:szCs w:val="20"/>
              </w:rPr>
            </w:pPr>
            <w:r>
              <w:rPr>
                <w:b/>
                <w:sz w:val="20"/>
                <w:szCs w:val="20"/>
              </w:rPr>
              <w:t>Causes</w:t>
            </w:r>
          </w:p>
          <w:p w:rsidR="00A0235F" w:rsidRDefault="00A0235F">
            <w:pPr>
              <w:rPr>
                <w:b/>
                <w:sz w:val="20"/>
                <w:szCs w:val="20"/>
              </w:rPr>
            </w:pPr>
          </w:p>
          <w:p w:rsidR="00A0235F" w:rsidRPr="00A0235F" w:rsidRDefault="00A0235F">
            <w:pPr>
              <w:rPr>
                <w:b/>
                <w:sz w:val="20"/>
                <w:szCs w:val="20"/>
              </w:rPr>
            </w:pPr>
          </w:p>
        </w:tc>
        <w:tc>
          <w:tcPr>
            <w:tcW w:w="3510" w:type="dxa"/>
          </w:tcPr>
          <w:p w:rsidR="00A0235F" w:rsidRDefault="00A0235F"/>
        </w:tc>
        <w:tc>
          <w:tcPr>
            <w:tcW w:w="3955" w:type="dxa"/>
          </w:tcPr>
          <w:p w:rsidR="00A0235F" w:rsidRDefault="00A0235F"/>
        </w:tc>
      </w:tr>
      <w:tr w:rsidR="00A0235F" w:rsidTr="00A0235F">
        <w:tc>
          <w:tcPr>
            <w:tcW w:w="1885" w:type="dxa"/>
          </w:tcPr>
          <w:p w:rsidR="00A0235F" w:rsidRDefault="00A0235F">
            <w:pPr>
              <w:rPr>
                <w:sz w:val="20"/>
                <w:szCs w:val="20"/>
              </w:rPr>
            </w:pPr>
          </w:p>
          <w:p w:rsidR="008140B7" w:rsidRDefault="008140B7" w:rsidP="008140B7">
            <w:pPr>
              <w:rPr>
                <w:b/>
                <w:sz w:val="20"/>
                <w:szCs w:val="20"/>
              </w:rPr>
            </w:pPr>
            <w:r>
              <w:rPr>
                <w:b/>
                <w:sz w:val="20"/>
                <w:szCs w:val="20"/>
              </w:rPr>
              <w:t>Aggressor(s)</w:t>
            </w:r>
            <w:r>
              <w:rPr>
                <w:b/>
                <w:sz w:val="20"/>
                <w:szCs w:val="20"/>
              </w:rPr>
              <w:t>*</w:t>
            </w:r>
            <w:r>
              <w:rPr>
                <w:b/>
                <w:sz w:val="20"/>
                <w:szCs w:val="20"/>
              </w:rPr>
              <w:t xml:space="preserve"> </w:t>
            </w:r>
          </w:p>
          <w:p w:rsidR="008140B7" w:rsidRPr="000A1609" w:rsidRDefault="008140B7" w:rsidP="008140B7">
            <w:pPr>
              <w:pStyle w:val="ListParagraph"/>
              <w:numPr>
                <w:ilvl w:val="0"/>
                <w:numId w:val="4"/>
              </w:numPr>
              <w:ind w:left="504" w:hanging="144"/>
              <w:rPr>
                <w:b/>
                <w:sz w:val="20"/>
                <w:szCs w:val="20"/>
              </w:rPr>
            </w:pPr>
            <w:r>
              <w:rPr>
                <w:b/>
                <w:sz w:val="20"/>
                <w:szCs w:val="20"/>
              </w:rPr>
              <w:t xml:space="preserve">Explain </w:t>
            </w:r>
          </w:p>
          <w:p w:rsidR="00273D23" w:rsidRPr="00A0235F" w:rsidRDefault="00273D23">
            <w:pPr>
              <w:rPr>
                <w:b/>
                <w:sz w:val="20"/>
                <w:szCs w:val="20"/>
              </w:rPr>
            </w:pPr>
          </w:p>
        </w:tc>
        <w:tc>
          <w:tcPr>
            <w:tcW w:w="3510" w:type="dxa"/>
          </w:tcPr>
          <w:p w:rsidR="00A0235F" w:rsidRDefault="00A0235F"/>
        </w:tc>
        <w:tc>
          <w:tcPr>
            <w:tcW w:w="3955" w:type="dxa"/>
          </w:tcPr>
          <w:p w:rsidR="00A0235F" w:rsidRDefault="00A0235F"/>
        </w:tc>
      </w:tr>
      <w:tr w:rsidR="00A0235F" w:rsidTr="00A0235F">
        <w:tc>
          <w:tcPr>
            <w:tcW w:w="1885" w:type="dxa"/>
          </w:tcPr>
          <w:p w:rsidR="00A0235F" w:rsidRDefault="00A0235F">
            <w:pPr>
              <w:rPr>
                <w:sz w:val="20"/>
                <w:szCs w:val="20"/>
              </w:rPr>
            </w:pPr>
          </w:p>
          <w:p w:rsidR="00A0235F" w:rsidRDefault="00A0235F">
            <w:pPr>
              <w:rPr>
                <w:sz w:val="20"/>
                <w:szCs w:val="20"/>
              </w:rPr>
            </w:pPr>
          </w:p>
          <w:p w:rsidR="00A0235F" w:rsidRDefault="00A0235F">
            <w:pPr>
              <w:rPr>
                <w:b/>
                <w:sz w:val="20"/>
                <w:szCs w:val="20"/>
              </w:rPr>
            </w:pPr>
            <w:r>
              <w:rPr>
                <w:b/>
                <w:sz w:val="20"/>
                <w:szCs w:val="20"/>
              </w:rPr>
              <w:t>Results</w:t>
            </w:r>
          </w:p>
          <w:p w:rsidR="00A0235F" w:rsidRPr="008140B7" w:rsidRDefault="008140B7" w:rsidP="008140B7">
            <w:pPr>
              <w:pStyle w:val="ListParagraph"/>
              <w:numPr>
                <w:ilvl w:val="0"/>
                <w:numId w:val="4"/>
              </w:numPr>
              <w:ind w:left="504" w:hanging="144"/>
              <w:rPr>
                <w:b/>
                <w:sz w:val="20"/>
                <w:szCs w:val="20"/>
              </w:rPr>
            </w:pPr>
            <w:r>
              <w:rPr>
                <w:b/>
                <w:sz w:val="20"/>
                <w:szCs w:val="20"/>
              </w:rPr>
              <w:t xml:space="preserve">Territorial </w:t>
            </w:r>
          </w:p>
          <w:p w:rsidR="00A0235F" w:rsidRDefault="00A0235F">
            <w:pPr>
              <w:rPr>
                <w:b/>
                <w:sz w:val="20"/>
                <w:szCs w:val="20"/>
              </w:rPr>
            </w:pPr>
          </w:p>
          <w:p w:rsidR="00A0235F" w:rsidRPr="00A0235F" w:rsidRDefault="00A0235F">
            <w:pPr>
              <w:rPr>
                <w:b/>
                <w:sz w:val="20"/>
                <w:szCs w:val="20"/>
              </w:rPr>
            </w:pPr>
          </w:p>
        </w:tc>
        <w:tc>
          <w:tcPr>
            <w:tcW w:w="3510" w:type="dxa"/>
          </w:tcPr>
          <w:p w:rsidR="00A0235F" w:rsidRDefault="00A0235F"/>
        </w:tc>
        <w:tc>
          <w:tcPr>
            <w:tcW w:w="3955" w:type="dxa"/>
          </w:tcPr>
          <w:p w:rsidR="00A0235F" w:rsidRDefault="00A0235F"/>
        </w:tc>
      </w:tr>
      <w:tr w:rsidR="00A0235F" w:rsidTr="00A0235F">
        <w:tc>
          <w:tcPr>
            <w:tcW w:w="1885" w:type="dxa"/>
          </w:tcPr>
          <w:p w:rsidR="00A0235F" w:rsidRDefault="00A0235F">
            <w:pPr>
              <w:rPr>
                <w:sz w:val="20"/>
                <w:szCs w:val="20"/>
              </w:rPr>
            </w:pPr>
          </w:p>
          <w:p w:rsidR="00A0235F" w:rsidRDefault="00A0235F">
            <w:pPr>
              <w:rPr>
                <w:sz w:val="20"/>
                <w:szCs w:val="20"/>
              </w:rPr>
            </w:pPr>
          </w:p>
          <w:p w:rsidR="00A0235F" w:rsidRDefault="00A0235F">
            <w:pPr>
              <w:rPr>
                <w:b/>
                <w:sz w:val="20"/>
                <w:szCs w:val="20"/>
              </w:rPr>
            </w:pPr>
            <w:r>
              <w:rPr>
                <w:b/>
                <w:sz w:val="20"/>
                <w:szCs w:val="20"/>
              </w:rPr>
              <w:t>Significance</w:t>
            </w:r>
          </w:p>
          <w:p w:rsidR="00A0235F" w:rsidRDefault="00A0235F">
            <w:pPr>
              <w:rPr>
                <w:b/>
                <w:sz w:val="20"/>
                <w:szCs w:val="20"/>
              </w:rPr>
            </w:pPr>
          </w:p>
          <w:p w:rsidR="00A0235F" w:rsidRPr="00A0235F" w:rsidRDefault="00A0235F">
            <w:pPr>
              <w:rPr>
                <w:b/>
                <w:sz w:val="20"/>
                <w:szCs w:val="20"/>
              </w:rPr>
            </w:pPr>
          </w:p>
        </w:tc>
        <w:tc>
          <w:tcPr>
            <w:tcW w:w="3510" w:type="dxa"/>
          </w:tcPr>
          <w:p w:rsidR="00A0235F" w:rsidRDefault="00A0235F"/>
        </w:tc>
        <w:tc>
          <w:tcPr>
            <w:tcW w:w="3955" w:type="dxa"/>
          </w:tcPr>
          <w:p w:rsidR="00A0235F" w:rsidRDefault="00A0235F"/>
        </w:tc>
      </w:tr>
      <w:tr w:rsidR="00273D23" w:rsidRPr="00A0235F" w:rsidTr="00273D23">
        <w:tc>
          <w:tcPr>
            <w:tcW w:w="1885" w:type="dxa"/>
          </w:tcPr>
          <w:p w:rsidR="00273D23" w:rsidRDefault="00273D23" w:rsidP="00AA3E6A"/>
        </w:tc>
        <w:tc>
          <w:tcPr>
            <w:tcW w:w="3510" w:type="dxa"/>
          </w:tcPr>
          <w:p w:rsidR="00273D23" w:rsidRDefault="00273D23" w:rsidP="00273D23">
            <w:pPr>
              <w:rPr>
                <w:b/>
                <w:sz w:val="20"/>
                <w:szCs w:val="20"/>
              </w:rPr>
            </w:pPr>
            <w:r>
              <w:rPr>
                <w:b/>
                <w:sz w:val="20"/>
                <w:szCs w:val="20"/>
              </w:rPr>
              <w:t>Six Day War, 1967</w:t>
            </w:r>
          </w:p>
          <w:p w:rsidR="00273D23" w:rsidRPr="00A0235F" w:rsidRDefault="00273D23" w:rsidP="00273D23">
            <w:pPr>
              <w:rPr>
                <w:b/>
                <w:sz w:val="20"/>
                <w:szCs w:val="20"/>
              </w:rPr>
            </w:pPr>
          </w:p>
        </w:tc>
        <w:tc>
          <w:tcPr>
            <w:tcW w:w="3955" w:type="dxa"/>
          </w:tcPr>
          <w:p w:rsidR="00273D23" w:rsidRPr="00A0235F" w:rsidRDefault="00273D23" w:rsidP="00AA3E6A">
            <w:pPr>
              <w:jc w:val="center"/>
              <w:rPr>
                <w:b/>
                <w:sz w:val="20"/>
                <w:szCs w:val="20"/>
              </w:rPr>
            </w:pPr>
            <w:r>
              <w:rPr>
                <w:b/>
                <w:sz w:val="20"/>
                <w:szCs w:val="20"/>
              </w:rPr>
              <w:t>Yom Kippur War, 1973</w:t>
            </w:r>
          </w:p>
        </w:tc>
      </w:tr>
      <w:tr w:rsidR="00273D23" w:rsidTr="00273D23">
        <w:tc>
          <w:tcPr>
            <w:tcW w:w="1885" w:type="dxa"/>
          </w:tcPr>
          <w:p w:rsidR="00273D23" w:rsidRDefault="00273D23" w:rsidP="00AA3E6A">
            <w:pPr>
              <w:rPr>
                <w:b/>
                <w:sz w:val="20"/>
                <w:szCs w:val="20"/>
              </w:rPr>
            </w:pPr>
            <w:r w:rsidRPr="00A0235F">
              <w:rPr>
                <w:b/>
                <w:sz w:val="20"/>
                <w:szCs w:val="20"/>
              </w:rPr>
              <w:t>Key Players</w:t>
            </w:r>
          </w:p>
          <w:p w:rsidR="00273D23" w:rsidRDefault="00273D23" w:rsidP="00AA3E6A">
            <w:pPr>
              <w:pStyle w:val="ListParagraph"/>
              <w:numPr>
                <w:ilvl w:val="0"/>
                <w:numId w:val="3"/>
              </w:numPr>
              <w:ind w:left="504" w:hanging="144"/>
              <w:rPr>
                <w:b/>
                <w:sz w:val="20"/>
                <w:szCs w:val="20"/>
              </w:rPr>
            </w:pPr>
            <w:r>
              <w:rPr>
                <w:b/>
                <w:sz w:val="20"/>
                <w:szCs w:val="20"/>
              </w:rPr>
              <w:t>Nations</w:t>
            </w:r>
          </w:p>
          <w:p w:rsidR="00273D23" w:rsidRPr="000A1609" w:rsidRDefault="00273D23" w:rsidP="00AA3E6A">
            <w:pPr>
              <w:pStyle w:val="ListParagraph"/>
              <w:numPr>
                <w:ilvl w:val="0"/>
                <w:numId w:val="3"/>
              </w:numPr>
              <w:ind w:left="504" w:hanging="144"/>
              <w:rPr>
                <w:b/>
                <w:sz w:val="20"/>
                <w:szCs w:val="20"/>
              </w:rPr>
            </w:pPr>
            <w:r>
              <w:rPr>
                <w:b/>
                <w:sz w:val="20"/>
                <w:szCs w:val="20"/>
              </w:rPr>
              <w:t xml:space="preserve">Leaders </w:t>
            </w:r>
          </w:p>
          <w:p w:rsidR="00273D23" w:rsidRPr="00A0235F" w:rsidRDefault="00273D23" w:rsidP="00AA3E6A">
            <w:pPr>
              <w:rPr>
                <w:b/>
                <w:sz w:val="20"/>
                <w:szCs w:val="20"/>
              </w:rPr>
            </w:pPr>
          </w:p>
        </w:tc>
        <w:tc>
          <w:tcPr>
            <w:tcW w:w="3510" w:type="dxa"/>
          </w:tcPr>
          <w:p w:rsidR="00273D23" w:rsidRDefault="00273D23" w:rsidP="00AA3E6A"/>
        </w:tc>
        <w:tc>
          <w:tcPr>
            <w:tcW w:w="3955" w:type="dxa"/>
          </w:tcPr>
          <w:p w:rsidR="00273D23" w:rsidRDefault="00273D23" w:rsidP="00AA3E6A"/>
        </w:tc>
      </w:tr>
      <w:tr w:rsidR="00273D23" w:rsidTr="00273D23">
        <w:tc>
          <w:tcPr>
            <w:tcW w:w="1885" w:type="dxa"/>
          </w:tcPr>
          <w:p w:rsidR="00273D23" w:rsidRDefault="00273D23" w:rsidP="00AA3E6A">
            <w:pPr>
              <w:rPr>
                <w:sz w:val="20"/>
                <w:szCs w:val="20"/>
              </w:rPr>
            </w:pPr>
          </w:p>
          <w:p w:rsidR="00273D23" w:rsidRDefault="00273D23" w:rsidP="00AA3E6A">
            <w:pPr>
              <w:rPr>
                <w:sz w:val="20"/>
                <w:szCs w:val="20"/>
              </w:rPr>
            </w:pPr>
          </w:p>
          <w:p w:rsidR="00273D23" w:rsidRPr="000A1609" w:rsidRDefault="00273D23" w:rsidP="00AA3E6A">
            <w:pPr>
              <w:pStyle w:val="ListParagraph"/>
              <w:numPr>
                <w:ilvl w:val="0"/>
                <w:numId w:val="4"/>
              </w:numPr>
              <w:ind w:left="504" w:hanging="144"/>
              <w:rPr>
                <w:b/>
                <w:sz w:val="20"/>
                <w:szCs w:val="20"/>
              </w:rPr>
            </w:pPr>
            <w:r>
              <w:rPr>
                <w:b/>
                <w:sz w:val="20"/>
                <w:szCs w:val="20"/>
              </w:rPr>
              <w:t>Causes</w:t>
            </w:r>
          </w:p>
          <w:p w:rsidR="00273D23" w:rsidRDefault="00273D23" w:rsidP="00AA3E6A">
            <w:pPr>
              <w:rPr>
                <w:b/>
                <w:sz w:val="20"/>
                <w:szCs w:val="20"/>
              </w:rPr>
            </w:pPr>
          </w:p>
          <w:p w:rsidR="00273D23" w:rsidRPr="00A0235F" w:rsidRDefault="00273D23" w:rsidP="00AA3E6A">
            <w:pPr>
              <w:rPr>
                <w:b/>
                <w:sz w:val="20"/>
                <w:szCs w:val="20"/>
              </w:rPr>
            </w:pPr>
          </w:p>
        </w:tc>
        <w:tc>
          <w:tcPr>
            <w:tcW w:w="3510" w:type="dxa"/>
          </w:tcPr>
          <w:p w:rsidR="00273D23" w:rsidRDefault="00273D23" w:rsidP="00AA3E6A"/>
        </w:tc>
        <w:tc>
          <w:tcPr>
            <w:tcW w:w="3955" w:type="dxa"/>
          </w:tcPr>
          <w:p w:rsidR="00273D23" w:rsidRDefault="00273D23" w:rsidP="00AA3E6A"/>
        </w:tc>
      </w:tr>
      <w:tr w:rsidR="00273D23" w:rsidTr="00273D23">
        <w:tc>
          <w:tcPr>
            <w:tcW w:w="1885" w:type="dxa"/>
          </w:tcPr>
          <w:p w:rsidR="00273D23" w:rsidRDefault="00273D23" w:rsidP="00AA3E6A">
            <w:pPr>
              <w:rPr>
                <w:sz w:val="20"/>
                <w:szCs w:val="20"/>
              </w:rPr>
            </w:pPr>
          </w:p>
          <w:p w:rsidR="00273D23" w:rsidRDefault="00273D23" w:rsidP="00AA3E6A">
            <w:pPr>
              <w:rPr>
                <w:b/>
                <w:sz w:val="20"/>
                <w:szCs w:val="20"/>
              </w:rPr>
            </w:pPr>
            <w:r>
              <w:rPr>
                <w:b/>
                <w:sz w:val="20"/>
                <w:szCs w:val="20"/>
              </w:rPr>
              <w:t xml:space="preserve">Aggressor(s)* </w:t>
            </w:r>
          </w:p>
          <w:p w:rsidR="00273D23" w:rsidRPr="00273D23" w:rsidRDefault="00273D23" w:rsidP="00AA3E6A">
            <w:pPr>
              <w:pStyle w:val="ListParagraph"/>
              <w:numPr>
                <w:ilvl w:val="0"/>
                <w:numId w:val="4"/>
              </w:numPr>
              <w:ind w:left="504" w:hanging="144"/>
              <w:rPr>
                <w:b/>
                <w:sz w:val="20"/>
                <w:szCs w:val="20"/>
              </w:rPr>
            </w:pPr>
            <w:r>
              <w:rPr>
                <w:b/>
                <w:sz w:val="20"/>
                <w:szCs w:val="20"/>
              </w:rPr>
              <w:t xml:space="preserve">Explain </w:t>
            </w:r>
          </w:p>
          <w:p w:rsidR="00273D23" w:rsidRPr="00A0235F" w:rsidRDefault="00273D23" w:rsidP="00AA3E6A">
            <w:pPr>
              <w:rPr>
                <w:b/>
                <w:sz w:val="20"/>
                <w:szCs w:val="20"/>
              </w:rPr>
            </w:pPr>
          </w:p>
        </w:tc>
        <w:tc>
          <w:tcPr>
            <w:tcW w:w="3510" w:type="dxa"/>
          </w:tcPr>
          <w:p w:rsidR="00273D23" w:rsidRDefault="00273D23" w:rsidP="00AA3E6A"/>
        </w:tc>
        <w:tc>
          <w:tcPr>
            <w:tcW w:w="3955" w:type="dxa"/>
          </w:tcPr>
          <w:p w:rsidR="00273D23" w:rsidRDefault="00273D23" w:rsidP="00AA3E6A"/>
        </w:tc>
      </w:tr>
      <w:tr w:rsidR="00273D23" w:rsidTr="00273D23">
        <w:tc>
          <w:tcPr>
            <w:tcW w:w="1885" w:type="dxa"/>
          </w:tcPr>
          <w:p w:rsidR="00273D23" w:rsidRDefault="00273D23" w:rsidP="00AA3E6A">
            <w:pPr>
              <w:rPr>
                <w:sz w:val="20"/>
                <w:szCs w:val="20"/>
              </w:rPr>
            </w:pPr>
          </w:p>
          <w:p w:rsidR="00273D23" w:rsidRDefault="00273D23" w:rsidP="00AA3E6A">
            <w:pPr>
              <w:rPr>
                <w:sz w:val="20"/>
                <w:szCs w:val="20"/>
              </w:rPr>
            </w:pPr>
          </w:p>
          <w:p w:rsidR="00273D23" w:rsidRDefault="00273D23" w:rsidP="00AA3E6A">
            <w:pPr>
              <w:rPr>
                <w:b/>
                <w:sz w:val="20"/>
                <w:szCs w:val="20"/>
              </w:rPr>
            </w:pPr>
            <w:r>
              <w:rPr>
                <w:b/>
                <w:sz w:val="20"/>
                <w:szCs w:val="20"/>
              </w:rPr>
              <w:t>Results</w:t>
            </w:r>
          </w:p>
          <w:p w:rsidR="00273D23" w:rsidRPr="008140B7" w:rsidRDefault="00273D23" w:rsidP="00AA3E6A">
            <w:pPr>
              <w:pStyle w:val="ListParagraph"/>
              <w:numPr>
                <w:ilvl w:val="0"/>
                <w:numId w:val="4"/>
              </w:numPr>
              <w:ind w:left="504" w:hanging="144"/>
              <w:rPr>
                <w:b/>
                <w:sz w:val="20"/>
                <w:szCs w:val="20"/>
              </w:rPr>
            </w:pPr>
            <w:r>
              <w:rPr>
                <w:b/>
                <w:sz w:val="20"/>
                <w:szCs w:val="20"/>
              </w:rPr>
              <w:t xml:space="preserve">Territorial </w:t>
            </w:r>
          </w:p>
          <w:p w:rsidR="00273D23" w:rsidRDefault="00273D23" w:rsidP="00AA3E6A">
            <w:pPr>
              <w:rPr>
                <w:b/>
                <w:sz w:val="20"/>
                <w:szCs w:val="20"/>
              </w:rPr>
            </w:pPr>
          </w:p>
          <w:p w:rsidR="00273D23" w:rsidRPr="00A0235F" w:rsidRDefault="00273D23" w:rsidP="00AA3E6A">
            <w:pPr>
              <w:rPr>
                <w:b/>
                <w:sz w:val="20"/>
                <w:szCs w:val="20"/>
              </w:rPr>
            </w:pPr>
          </w:p>
        </w:tc>
        <w:tc>
          <w:tcPr>
            <w:tcW w:w="3510" w:type="dxa"/>
          </w:tcPr>
          <w:p w:rsidR="00273D23" w:rsidRDefault="00273D23" w:rsidP="00AA3E6A"/>
        </w:tc>
        <w:tc>
          <w:tcPr>
            <w:tcW w:w="3955" w:type="dxa"/>
          </w:tcPr>
          <w:p w:rsidR="00273D23" w:rsidRDefault="00273D23" w:rsidP="00AA3E6A"/>
        </w:tc>
      </w:tr>
      <w:tr w:rsidR="00273D23" w:rsidTr="00273D23">
        <w:tc>
          <w:tcPr>
            <w:tcW w:w="1885" w:type="dxa"/>
          </w:tcPr>
          <w:p w:rsidR="00273D23" w:rsidRDefault="00273D23" w:rsidP="00AA3E6A">
            <w:pPr>
              <w:rPr>
                <w:sz w:val="20"/>
                <w:szCs w:val="20"/>
              </w:rPr>
            </w:pPr>
          </w:p>
          <w:p w:rsidR="00273D23" w:rsidRDefault="00273D23" w:rsidP="00AA3E6A">
            <w:pPr>
              <w:rPr>
                <w:sz w:val="20"/>
                <w:szCs w:val="20"/>
              </w:rPr>
            </w:pPr>
          </w:p>
          <w:p w:rsidR="00273D23" w:rsidRDefault="00273D23" w:rsidP="00AA3E6A">
            <w:pPr>
              <w:rPr>
                <w:b/>
                <w:sz w:val="20"/>
                <w:szCs w:val="20"/>
              </w:rPr>
            </w:pPr>
            <w:r>
              <w:rPr>
                <w:b/>
                <w:sz w:val="20"/>
                <w:szCs w:val="20"/>
              </w:rPr>
              <w:t>Significance</w:t>
            </w:r>
          </w:p>
          <w:p w:rsidR="00273D23" w:rsidRDefault="00273D23" w:rsidP="00AA3E6A">
            <w:pPr>
              <w:rPr>
                <w:b/>
                <w:sz w:val="20"/>
                <w:szCs w:val="20"/>
              </w:rPr>
            </w:pPr>
          </w:p>
          <w:p w:rsidR="00273D23" w:rsidRPr="00A0235F" w:rsidRDefault="00273D23" w:rsidP="00AA3E6A">
            <w:pPr>
              <w:rPr>
                <w:b/>
                <w:sz w:val="20"/>
                <w:szCs w:val="20"/>
              </w:rPr>
            </w:pPr>
          </w:p>
        </w:tc>
        <w:tc>
          <w:tcPr>
            <w:tcW w:w="3510" w:type="dxa"/>
          </w:tcPr>
          <w:p w:rsidR="00273D23" w:rsidRDefault="00273D23" w:rsidP="00AA3E6A"/>
        </w:tc>
        <w:tc>
          <w:tcPr>
            <w:tcW w:w="3955" w:type="dxa"/>
          </w:tcPr>
          <w:p w:rsidR="00273D23" w:rsidRDefault="00273D23" w:rsidP="00AA3E6A"/>
        </w:tc>
      </w:tr>
    </w:tbl>
    <w:p w:rsidR="00322A31" w:rsidRPr="00273D23" w:rsidRDefault="00273D23" w:rsidP="00273D23">
      <w:pPr>
        <w:pStyle w:val="ListParagraph"/>
        <w:numPr>
          <w:ilvl w:val="0"/>
          <w:numId w:val="1"/>
        </w:numPr>
        <w:rPr>
          <w:sz w:val="20"/>
          <w:szCs w:val="20"/>
        </w:rPr>
      </w:pPr>
      <w:r w:rsidRPr="00273D23">
        <w:rPr>
          <w:sz w:val="20"/>
          <w:szCs w:val="20"/>
        </w:rPr>
        <w:lastRenderedPageBreak/>
        <w:t>In asse</w:t>
      </w:r>
      <w:r w:rsidR="00322A31" w:rsidRPr="00273D23">
        <w:rPr>
          <w:sz w:val="20"/>
          <w:szCs w:val="20"/>
        </w:rPr>
        <w:t xml:space="preserve">ssing the Arab-Israeli Wars from 1948 to 1973, militarily, what nation succeeds time and time again? </w:t>
      </w:r>
    </w:p>
    <w:p w:rsidR="00A0235F" w:rsidRPr="00213286" w:rsidRDefault="00213286" w:rsidP="00213286">
      <w:pPr>
        <w:pStyle w:val="ListParagraph"/>
        <w:numPr>
          <w:ilvl w:val="0"/>
          <w:numId w:val="1"/>
        </w:numPr>
        <w:rPr>
          <w:sz w:val="20"/>
          <w:szCs w:val="20"/>
        </w:rPr>
      </w:pPr>
      <w:r>
        <w:rPr>
          <w:sz w:val="20"/>
          <w:szCs w:val="20"/>
        </w:rPr>
        <w:t>Critical Analysis: Explain how the establishment of the state of Israel has destabilized the Middle East.</w:t>
      </w:r>
    </w:p>
    <w:p w:rsidR="008343B7" w:rsidRDefault="008343B7" w:rsidP="008343B7"/>
    <w:p w:rsidR="00B21DA4" w:rsidRDefault="00B21DA4" w:rsidP="008343B7"/>
    <w:p w:rsidR="008343B7" w:rsidRPr="00213286" w:rsidRDefault="005E7E2C" w:rsidP="008343B7">
      <w:pPr>
        <w:pStyle w:val="ListParagraph"/>
        <w:numPr>
          <w:ilvl w:val="0"/>
          <w:numId w:val="1"/>
        </w:numPr>
        <w:rPr>
          <w:sz w:val="20"/>
          <w:szCs w:val="20"/>
        </w:rPr>
      </w:pPr>
      <w:r>
        <w:rPr>
          <w:sz w:val="20"/>
          <w:szCs w:val="20"/>
        </w:rPr>
        <w:t>How did the Y</w:t>
      </w:r>
      <w:r w:rsidR="008343B7" w:rsidRPr="00213286">
        <w:rPr>
          <w:sz w:val="20"/>
          <w:szCs w:val="20"/>
        </w:rPr>
        <w:t>om Kippur War affect the industrial nations of the world?</w:t>
      </w:r>
      <w:r w:rsidR="00B21DA4">
        <w:rPr>
          <w:sz w:val="20"/>
          <w:szCs w:val="20"/>
        </w:rPr>
        <w:t xml:space="preserve"> What did the USA do in response?</w:t>
      </w:r>
    </w:p>
    <w:p w:rsidR="00322A31" w:rsidRDefault="00322A31" w:rsidP="00A0235F">
      <w:pPr>
        <w:rPr>
          <w:sz w:val="20"/>
          <w:szCs w:val="20"/>
        </w:rPr>
      </w:pPr>
    </w:p>
    <w:p w:rsidR="00A0235F" w:rsidRDefault="00B21DA4" w:rsidP="00273D23">
      <w:pPr>
        <w:spacing w:after="0" w:line="240" w:lineRule="auto"/>
        <w:rPr>
          <w:b/>
          <w:sz w:val="20"/>
          <w:szCs w:val="20"/>
        </w:rPr>
      </w:pPr>
      <w:r w:rsidRPr="00B21DA4">
        <w:rPr>
          <w:b/>
          <w:sz w:val="20"/>
          <w:szCs w:val="20"/>
        </w:rPr>
        <w:t>Camp David Accord</w:t>
      </w:r>
    </w:p>
    <w:p w:rsidR="00322A31" w:rsidRPr="00322A31" w:rsidRDefault="00322A31" w:rsidP="00322A31">
      <w:pPr>
        <w:pStyle w:val="ListParagraph"/>
        <w:numPr>
          <w:ilvl w:val="0"/>
          <w:numId w:val="1"/>
        </w:numPr>
        <w:rPr>
          <w:b/>
          <w:sz w:val="20"/>
          <w:szCs w:val="20"/>
        </w:rPr>
      </w:pPr>
      <w:r>
        <w:rPr>
          <w:sz w:val="20"/>
          <w:szCs w:val="20"/>
        </w:rPr>
        <w:t>How did the Camp David peace accords attempt to solve the problem of the Middle East?</w:t>
      </w:r>
    </w:p>
    <w:p w:rsidR="00A0235F" w:rsidRDefault="00A0235F" w:rsidP="00A0235F">
      <w:pPr>
        <w:rPr>
          <w:sz w:val="20"/>
          <w:szCs w:val="20"/>
        </w:rPr>
      </w:pPr>
    </w:p>
    <w:p w:rsidR="00322A31" w:rsidRDefault="00322A31" w:rsidP="00273D23">
      <w:pPr>
        <w:spacing w:after="0" w:line="240" w:lineRule="auto"/>
        <w:rPr>
          <w:sz w:val="20"/>
          <w:szCs w:val="20"/>
        </w:rPr>
      </w:pPr>
      <w:r>
        <w:rPr>
          <w:sz w:val="20"/>
          <w:szCs w:val="20"/>
        </w:rPr>
        <w:t>Read the following excerpts:</w:t>
      </w:r>
    </w:p>
    <w:tbl>
      <w:tblPr>
        <w:tblStyle w:val="TableGrid"/>
        <w:tblW w:w="0" w:type="auto"/>
        <w:tblLook w:val="04A0" w:firstRow="1" w:lastRow="0" w:firstColumn="1" w:lastColumn="0" w:noHBand="0" w:noVBand="1"/>
      </w:tblPr>
      <w:tblGrid>
        <w:gridCol w:w="9350"/>
      </w:tblGrid>
      <w:tr w:rsidR="00322A31" w:rsidTr="00322A31">
        <w:tc>
          <w:tcPr>
            <w:tcW w:w="9350" w:type="dxa"/>
          </w:tcPr>
          <w:p w:rsidR="00322A31" w:rsidRPr="00322A31" w:rsidRDefault="00322A31" w:rsidP="00322A31">
            <w:pPr>
              <w:rPr>
                <w:sz w:val="20"/>
                <w:szCs w:val="20"/>
              </w:rPr>
            </w:pPr>
            <w:r w:rsidRPr="00322A31">
              <w:rPr>
                <w:sz w:val="20"/>
                <w:szCs w:val="20"/>
              </w:rPr>
              <w:t>The Security Council,</w:t>
            </w:r>
          </w:p>
          <w:p w:rsidR="00322A31" w:rsidRPr="00322A31" w:rsidRDefault="00322A31" w:rsidP="00322A31">
            <w:pPr>
              <w:rPr>
                <w:sz w:val="20"/>
                <w:szCs w:val="20"/>
              </w:rPr>
            </w:pPr>
            <w:r w:rsidRPr="00322A31">
              <w:rPr>
                <w:sz w:val="20"/>
                <w:szCs w:val="20"/>
              </w:rPr>
              <w:t>Expressing its continuing concern with the grave situation in the Middle East….</w:t>
            </w:r>
          </w:p>
          <w:p w:rsidR="00322A31" w:rsidRPr="00322A31" w:rsidRDefault="00322A31" w:rsidP="00322A31">
            <w:pPr>
              <w:rPr>
                <w:sz w:val="20"/>
                <w:szCs w:val="20"/>
              </w:rPr>
            </w:pPr>
          </w:p>
          <w:p w:rsidR="00322A31" w:rsidRPr="00322A31" w:rsidRDefault="00322A31" w:rsidP="00322A31">
            <w:pPr>
              <w:rPr>
                <w:sz w:val="20"/>
                <w:szCs w:val="20"/>
              </w:rPr>
            </w:pPr>
            <w:r w:rsidRPr="00322A31">
              <w:rPr>
                <w:sz w:val="20"/>
                <w:szCs w:val="20"/>
              </w:rPr>
              <w:t>Affirms that … the establishment of a just and lasting peace in the Middle East … should include the application of both the following principles:</w:t>
            </w:r>
          </w:p>
          <w:p w:rsidR="00322A31" w:rsidRPr="00322A31" w:rsidRDefault="00322A31" w:rsidP="00322A31">
            <w:pPr>
              <w:rPr>
                <w:sz w:val="20"/>
                <w:szCs w:val="20"/>
              </w:rPr>
            </w:pPr>
          </w:p>
          <w:p w:rsidR="00322A31" w:rsidRPr="00322A31" w:rsidRDefault="00322A31" w:rsidP="00322A31">
            <w:pPr>
              <w:numPr>
                <w:ilvl w:val="0"/>
                <w:numId w:val="5"/>
              </w:numPr>
              <w:rPr>
                <w:sz w:val="20"/>
                <w:szCs w:val="20"/>
              </w:rPr>
            </w:pPr>
            <w:r w:rsidRPr="00322A31">
              <w:rPr>
                <w:sz w:val="20"/>
                <w:szCs w:val="20"/>
              </w:rPr>
              <w:t>Withdrawal of Israeli armed forces from territories occupied in the recent conflict;</w:t>
            </w:r>
          </w:p>
          <w:p w:rsidR="00322A31" w:rsidRPr="00322A31" w:rsidRDefault="00322A31" w:rsidP="00322A31">
            <w:pPr>
              <w:rPr>
                <w:sz w:val="20"/>
                <w:szCs w:val="20"/>
              </w:rPr>
            </w:pPr>
          </w:p>
          <w:p w:rsidR="00322A31" w:rsidRPr="00322A31" w:rsidRDefault="00322A31" w:rsidP="00322A31">
            <w:pPr>
              <w:numPr>
                <w:ilvl w:val="0"/>
                <w:numId w:val="5"/>
              </w:numPr>
              <w:jc w:val="both"/>
              <w:rPr>
                <w:sz w:val="20"/>
                <w:szCs w:val="20"/>
              </w:rPr>
            </w:pPr>
            <w:r w:rsidRPr="00322A31">
              <w:rPr>
                <w:sz w:val="20"/>
                <w:szCs w:val="20"/>
              </w:rPr>
              <w:t>Termination of all claims or states of belligerency and respect for and acknowledgement of the sovereignty, territorial integrity and political independence of every State in the area and their right to live in peace within secure and recognized boundaries free from threats or acts of force;</w:t>
            </w:r>
          </w:p>
          <w:p w:rsidR="00322A31" w:rsidRPr="00322A31" w:rsidRDefault="00322A31" w:rsidP="00322A31">
            <w:pPr>
              <w:rPr>
                <w:sz w:val="20"/>
                <w:szCs w:val="20"/>
              </w:rPr>
            </w:pPr>
          </w:p>
          <w:p w:rsidR="00322A31" w:rsidRPr="00322A31" w:rsidRDefault="00322A31" w:rsidP="00322A31">
            <w:pPr>
              <w:jc w:val="both"/>
              <w:rPr>
                <w:sz w:val="20"/>
                <w:szCs w:val="20"/>
              </w:rPr>
            </w:pPr>
            <w:r w:rsidRPr="00322A31">
              <w:rPr>
                <w:sz w:val="20"/>
                <w:szCs w:val="20"/>
              </w:rPr>
              <w:t>Affirms further the necessity… [of] achieving a just settlement of the refugee problem; [of] guaranteeing the territorial inviolability and political independence of every State in the area….</w:t>
            </w:r>
          </w:p>
          <w:p w:rsidR="00322A31" w:rsidRPr="00322A31" w:rsidRDefault="00322A31" w:rsidP="00322A31">
            <w:pPr>
              <w:rPr>
                <w:sz w:val="20"/>
                <w:szCs w:val="20"/>
              </w:rPr>
            </w:pPr>
          </w:p>
          <w:p w:rsidR="00322A31" w:rsidRPr="00322A31" w:rsidRDefault="00322A31" w:rsidP="00322A31">
            <w:pPr>
              <w:rPr>
                <w:b/>
                <w:sz w:val="20"/>
                <w:szCs w:val="20"/>
              </w:rPr>
            </w:pPr>
            <w:r w:rsidRPr="00322A31">
              <w:rPr>
                <w:b/>
                <w:sz w:val="20"/>
                <w:szCs w:val="20"/>
              </w:rPr>
              <w:t>United Nations Security Council Resolution 242</w:t>
            </w:r>
          </w:p>
          <w:p w:rsidR="00322A31" w:rsidRDefault="00322A31" w:rsidP="00322A31">
            <w:pPr>
              <w:rPr>
                <w:b/>
                <w:sz w:val="20"/>
                <w:szCs w:val="20"/>
              </w:rPr>
            </w:pPr>
            <w:r w:rsidRPr="00322A31">
              <w:rPr>
                <w:b/>
                <w:sz w:val="20"/>
                <w:szCs w:val="20"/>
              </w:rPr>
              <w:t>22 November, 1967</w:t>
            </w:r>
          </w:p>
        </w:tc>
      </w:tr>
    </w:tbl>
    <w:p w:rsidR="00322A31" w:rsidRPr="00273D23" w:rsidRDefault="00322A31" w:rsidP="00273D23">
      <w:pPr>
        <w:spacing w:after="0" w:line="240" w:lineRule="auto"/>
        <w:rPr>
          <w:b/>
          <w:sz w:val="8"/>
          <w:szCs w:val="8"/>
        </w:rPr>
      </w:pPr>
    </w:p>
    <w:tbl>
      <w:tblPr>
        <w:tblStyle w:val="TableGrid"/>
        <w:tblW w:w="0" w:type="auto"/>
        <w:tblLook w:val="04A0" w:firstRow="1" w:lastRow="0" w:firstColumn="1" w:lastColumn="0" w:noHBand="0" w:noVBand="1"/>
      </w:tblPr>
      <w:tblGrid>
        <w:gridCol w:w="9350"/>
      </w:tblGrid>
      <w:tr w:rsidR="00322A31" w:rsidTr="00322A31">
        <w:tc>
          <w:tcPr>
            <w:tcW w:w="9350" w:type="dxa"/>
          </w:tcPr>
          <w:p w:rsidR="00B5504E" w:rsidRPr="00B5504E" w:rsidRDefault="00B5504E" w:rsidP="00B5504E">
            <w:pPr>
              <w:ind w:left="-81"/>
              <w:jc w:val="both"/>
              <w:rPr>
                <w:sz w:val="20"/>
                <w:szCs w:val="20"/>
              </w:rPr>
            </w:pPr>
            <w:r w:rsidRPr="00B5504E">
              <w:rPr>
                <w:sz w:val="20"/>
                <w:szCs w:val="20"/>
              </w:rPr>
              <w:t>The parties are determined to reach a just, comprehensive, and durable settlement of the Middle East conflict through the conclusion of peace treaties based on Security Council resolutions 242 and 338 in all their parts.</w:t>
            </w:r>
          </w:p>
          <w:p w:rsidR="00B5504E" w:rsidRPr="00B5504E" w:rsidRDefault="00B5504E" w:rsidP="00B5504E">
            <w:pPr>
              <w:ind w:left="-81"/>
              <w:rPr>
                <w:sz w:val="20"/>
                <w:szCs w:val="20"/>
              </w:rPr>
            </w:pPr>
            <w:r w:rsidRPr="00B5504E">
              <w:rPr>
                <w:sz w:val="20"/>
                <w:szCs w:val="20"/>
              </w:rPr>
              <w:t>…</w:t>
            </w:r>
          </w:p>
          <w:p w:rsidR="00B5504E" w:rsidRPr="00B5504E" w:rsidRDefault="00B5504E" w:rsidP="00B5504E">
            <w:pPr>
              <w:ind w:left="-81"/>
              <w:jc w:val="both"/>
              <w:rPr>
                <w:sz w:val="20"/>
                <w:szCs w:val="20"/>
              </w:rPr>
            </w:pPr>
            <w:r w:rsidRPr="00B5504E">
              <w:rPr>
                <w:sz w:val="20"/>
                <w:szCs w:val="20"/>
              </w:rPr>
              <w:t>Egypt and Israel agree that… there should be transitional arrangements for the West Bank and Gaza for a period not exceeding five years. In order to provide full autonomy to the inhabitants, under these arrangements the Israeli military government and its civilian administration will be withdrawn as soon as a self-governing authority has been freely elected by the inhabitants of these areas… A withdrawal of Israeli armed forces will take place… The agreement will also include arrangements for assuring internal and external security and public order.</w:t>
            </w:r>
          </w:p>
          <w:p w:rsidR="00B5504E" w:rsidRPr="00B5504E" w:rsidRDefault="00B5504E" w:rsidP="00B5504E">
            <w:pPr>
              <w:ind w:left="-81"/>
              <w:jc w:val="both"/>
              <w:rPr>
                <w:sz w:val="20"/>
                <w:szCs w:val="20"/>
              </w:rPr>
            </w:pPr>
            <w:r w:rsidRPr="00B5504E">
              <w:rPr>
                <w:sz w:val="20"/>
                <w:szCs w:val="20"/>
              </w:rPr>
              <w:t>…</w:t>
            </w:r>
          </w:p>
          <w:p w:rsidR="00B5504E" w:rsidRPr="00B5504E" w:rsidRDefault="00B5504E" w:rsidP="00B5504E">
            <w:pPr>
              <w:ind w:left="-81"/>
              <w:jc w:val="both"/>
              <w:rPr>
                <w:sz w:val="20"/>
                <w:szCs w:val="20"/>
              </w:rPr>
            </w:pPr>
            <w:r w:rsidRPr="00B5504E">
              <w:rPr>
                <w:sz w:val="20"/>
                <w:szCs w:val="20"/>
              </w:rPr>
              <w:t>[T]he Palestinians will participate in the determination of their own future through:</w:t>
            </w:r>
          </w:p>
          <w:p w:rsidR="00B5504E" w:rsidRPr="00B5504E" w:rsidRDefault="00B5504E" w:rsidP="00B5504E">
            <w:pPr>
              <w:numPr>
                <w:ilvl w:val="0"/>
                <w:numId w:val="6"/>
              </w:numPr>
              <w:jc w:val="both"/>
              <w:rPr>
                <w:sz w:val="20"/>
                <w:szCs w:val="20"/>
              </w:rPr>
            </w:pPr>
            <w:r w:rsidRPr="00B5504E">
              <w:rPr>
                <w:sz w:val="20"/>
                <w:szCs w:val="20"/>
              </w:rPr>
              <w:t>The negotiations among Egypt, Israel, Jordan and the representatives of the inhabitants of the West Bank and Gaza to agree on the final status of the West Bank and Gaza.</w:t>
            </w:r>
          </w:p>
          <w:p w:rsidR="00B5504E" w:rsidRPr="00273D23" w:rsidRDefault="00B5504E" w:rsidP="00273D23">
            <w:pPr>
              <w:numPr>
                <w:ilvl w:val="0"/>
                <w:numId w:val="6"/>
              </w:numPr>
              <w:jc w:val="both"/>
              <w:rPr>
                <w:sz w:val="20"/>
                <w:szCs w:val="20"/>
              </w:rPr>
            </w:pPr>
            <w:r w:rsidRPr="00B5504E">
              <w:rPr>
                <w:sz w:val="20"/>
                <w:szCs w:val="20"/>
              </w:rPr>
              <w:t>Submitting their agreements to a vote by the elected representatives of the inhabitants of West Bank and Gaza… to decide how they shall govern themselves.</w:t>
            </w:r>
          </w:p>
          <w:p w:rsidR="00273D23" w:rsidRPr="00273D23" w:rsidRDefault="00273D23" w:rsidP="00273D23">
            <w:pPr>
              <w:jc w:val="both"/>
              <w:rPr>
                <w:sz w:val="20"/>
                <w:szCs w:val="20"/>
              </w:rPr>
            </w:pPr>
          </w:p>
          <w:p w:rsidR="00B5504E" w:rsidRPr="00B5504E" w:rsidRDefault="00B5504E" w:rsidP="00B90B2C">
            <w:pPr>
              <w:ind w:left="-81"/>
              <w:jc w:val="both"/>
              <w:rPr>
                <w:sz w:val="20"/>
                <w:szCs w:val="20"/>
              </w:rPr>
            </w:pPr>
            <w:r w:rsidRPr="00B5504E">
              <w:rPr>
                <w:sz w:val="20"/>
                <w:szCs w:val="20"/>
              </w:rPr>
              <w:t>Signed by: Muhammed Anwar as-Sada</w:t>
            </w:r>
            <w:r w:rsidR="00B90B2C">
              <w:rPr>
                <w:sz w:val="20"/>
                <w:szCs w:val="20"/>
              </w:rPr>
              <w:t>t, Menachem Begin, Jimmy Carter</w:t>
            </w:r>
          </w:p>
          <w:p w:rsidR="00322A31" w:rsidRDefault="00B5504E" w:rsidP="00B5504E">
            <w:pPr>
              <w:rPr>
                <w:b/>
                <w:sz w:val="20"/>
                <w:szCs w:val="20"/>
              </w:rPr>
            </w:pPr>
            <w:r w:rsidRPr="00B5504E">
              <w:rPr>
                <w:sz w:val="20"/>
                <w:szCs w:val="20"/>
              </w:rPr>
              <w:t xml:space="preserve"> </w:t>
            </w:r>
            <w:r w:rsidRPr="00B5504E">
              <w:rPr>
                <w:b/>
                <w:sz w:val="20"/>
                <w:szCs w:val="20"/>
              </w:rPr>
              <w:t>Camp David Accords,</w:t>
            </w:r>
            <w:r w:rsidRPr="00B5504E">
              <w:rPr>
                <w:sz w:val="20"/>
                <w:szCs w:val="20"/>
              </w:rPr>
              <w:t xml:space="preserve"> 17 September,1978</w:t>
            </w:r>
          </w:p>
        </w:tc>
      </w:tr>
    </w:tbl>
    <w:p w:rsidR="00B90B2C" w:rsidRPr="00B90B2C" w:rsidRDefault="00B90B2C" w:rsidP="00B90B2C">
      <w:pPr>
        <w:spacing w:after="0" w:line="240" w:lineRule="auto"/>
        <w:rPr>
          <w:sz w:val="20"/>
          <w:szCs w:val="20"/>
        </w:rPr>
      </w:pPr>
    </w:p>
    <w:p w:rsidR="00B5504E" w:rsidRPr="00B5504E" w:rsidRDefault="00B5504E" w:rsidP="00B5504E">
      <w:pPr>
        <w:pStyle w:val="ListParagraph"/>
        <w:numPr>
          <w:ilvl w:val="0"/>
          <w:numId w:val="1"/>
        </w:numPr>
        <w:spacing w:after="0" w:line="240" w:lineRule="auto"/>
        <w:rPr>
          <w:sz w:val="20"/>
          <w:szCs w:val="20"/>
        </w:rPr>
      </w:pPr>
      <w:r w:rsidRPr="00B5504E">
        <w:rPr>
          <w:sz w:val="20"/>
          <w:szCs w:val="20"/>
        </w:rPr>
        <w:lastRenderedPageBreak/>
        <w:t>How does the agreement between Sadat (Egypt), Begin (Israel) and Carter (USA) at Camp David substantiate  the  core principles behind the United Nations Security Council Resolution 242? Explain.</w:t>
      </w:r>
    </w:p>
    <w:p w:rsidR="00B5504E" w:rsidRDefault="00B5504E" w:rsidP="00B5504E">
      <w:pPr>
        <w:spacing w:after="0" w:line="240" w:lineRule="auto"/>
        <w:rPr>
          <w:sz w:val="20"/>
          <w:szCs w:val="20"/>
        </w:rPr>
      </w:pPr>
    </w:p>
    <w:p w:rsidR="00B5504E" w:rsidRPr="00B5504E" w:rsidRDefault="00B5504E" w:rsidP="00B5504E">
      <w:pPr>
        <w:spacing w:after="0" w:line="240" w:lineRule="auto"/>
        <w:rPr>
          <w:sz w:val="20"/>
          <w:szCs w:val="20"/>
        </w:rPr>
      </w:pPr>
      <w:r w:rsidRPr="00B5504E">
        <w:rPr>
          <w:sz w:val="20"/>
          <w:szCs w:val="20"/>
        </w:rPr>
        <w:t xml:space="preserve"> </w:t>
      </w:r>
    </w:p>
    <w:p w:rsidR="00322A31" w:rsidRDefault="00322A31" w:rsidP="00322A31">
      <w:pPr>
        <w:spacing w:after="0" w:line="240" w:lineRule="auto"/>
        <w:rPr>
          <w:sz w:val="20"/>
          <w:szCs w:val="20"/>
        </w:rPr>
      </w:pPr>
    </w:p>
    <w:p w:rsidR="00273D23" w:rsidRDefault="00273D23" w:rsidP="00322A31">
      <w:pPr>
        <w:spacing w:after="0" w:line="240" w:lineRule="auto"/>
        <w:rPr>
          <w:sz w:val="20"/>
          <w:szCs w:val="20"/>
        </w:rPr>
      </w:pPr>
    </w:p>
    <w:p w:rsidR="00E36887" w:rsidRDefault="00E36887" w:rsidP="00322A31">
      <w:pPr>
        <w:spacing w:after="0" w:line="240" w:lineRule="auto"/>
        <w:rPr>
          <w:sz w:val="20"/>
          <w:szCs w:val="20"/>
        </w:rPr>
      </w:pPr>
      <w:r>
        <w:rPr>
          <w:sz w:val="20"/>
          <w:szCs w:val="20"/>
        </w:rPr>
        <w:t xml:space="preserve">Read the following excerpt and refer back to the </w:t>
      </w:r>
      <w:r w:rsidR="00105F8B">
        <w:rPr>
          <w:sz w:val="20"/>
          <w:szCs w:val="20"/>
        </w:rPr>
        <w:t xml:space="preserve">excerpt outline the </w:t>
      </w:r>
      <w:r>
        <w:rPr>
          <w:sz w:val="20"/>
          <w:szCs w:val="20"/>
        </w:rPr>
        <w:t xml:space="preserve"> </w:t>
      </w:r>
      <w:r w:rsidR="00105F8B">
        <w:rPr>
          <w:sz w:val="20"/>
          <w:szCs w:val="20"/>
        </w:rPr>
        <w:t>terms</w:t>
      </w:r>
      <w:r>
        <w:rPr>
          <w:sz w:val="20"/>
          <w:szCs w:val="20"/>
        </w:rPr>
        <w:t xml:space="preserve"> of the Camp David Accord</w:t>
      </w:r>
      <w:r w:rsidR="00105F8B">
        <w:rPr>
          <w:sz w:val="20"/>
          <w:szCs w:val="20"/>
        </w:rPr>
        <w:t>s</w:t>
      </w:r>
      <w:r>
        <w:rPr>
          <w:sz w:val="20"/>
          <w:szCs w:val="20"/>
        </w:rPr>
        <w:t>:</w:t>
      </w:r>
    </w:p>
    <w:tbl>
      <w:tblPr>
        <w:tblStyle w:val="TableGrid"/>
        <w:tblW w:w="0" w:type="auto"/>
        <w:tblLook w:val="04A0" w:firstRow="1" w:lastRow="0" w:firstColumn="1" w:lastColumn="0" w:noHBand="0" w:noVBand="1"/>
      </w:tblPr>
      <w:tblGrid>
        <w:gridCol w:w="9350"/>
      </w:tblGrid>
      <w:tr w:rsidR="00E36887" w:rsidTr="00E36887">
        <w:tc>
          <w:tcPr>
            <w:tcW w:w="9350" w:type="dxa"/>
          </w:tcPr>
          <w:p w:rsidR="00E36887" w:rsidRPr="00E36887" w:rsidRDefault="00E36887" w:rsidP="00E36887">
            <w:pPr>
              <w:ind w:left="-81"/>
              <w:rPr>
                <w:sz w:val="20"/>
                <w:szCs w:val="20"/>
              </w:rPr>
            </w:pPr>
            <w:r w:rsidRPr="00E36887">
              <w:rPr>
                <w:sz w:val="20"/>
                <w:szCs w:val="20"/>
              </w:rPr>
              <w:t>Concerning Judea, Samaria [i.e., the West Bank] and the Gaza District:</w:t>
            </w:r>
          </w:p>
          <w:p w:rsidR="00E36887" w:rsidRPr="00E36887" w:rsidRDefault="00E36887" w:rsidP="00E36887">
            <w:pPr>
              <w:ind w:left="-81"/>
              <w:rPr>
                <w:sz w:val="20"/>
                <w:szCs w:val="20"/>
              </w:rPr>
            </w:pPr>
          </w:p>
          <w:p w:rsidR="00E36887" w:rsidRPr="00E36887" w:rsidRDefault="00E36887" w:rsidP="00E36887">
            <w:pPr>
              <w:ind w:left="-81"/>
              <w:jc w:val="both"/>
              <w:rPr>
                <w:sz w:val="20"/>
                <w:szCs w:val="20"/>
              </w:rPr>
            </w:pPr>
            <w:r w:rsidRPr="00E36887">
              <w:rPr>
                <w:sz w:val="20"/>
                <w:szCs w:val="20"/>
              </w:rPr>
              <w:t>We have signed a very serious agreement. Now, on the basis of our peace plan, the agreement says that the Palestinian Arabs residing in Judea, Samaria [the West Bank] and the Gaza District will have autonomy. Full autonomy. They will themselves select their administrative council… and deal themselves with the daily affairs of their lives. We shall not interfere [according to the plan]. They will have self-rule, as we believe it is just that they should have. And we, the Jews, will have security. As we believe it is indispensable justice that they should have it.</w:t>
            </w:r>
          </w:p>
          <w:p w:rsidR="00E36887" w:rsidRPr="00E36887" w:rsidRDefault="00E36887" w:rsidP="00E36887">
            <w:pPr>
              <w:ind w:left="-81"/>
              <w:rPr>
                <w:sz w:val="20"/>
                <w:szCs w:val="20"/>
              </w:rPr>
            </w:pPr>
          </w:p>
          <w:p w:rsidR="00E36887" w:rsidRPr="00E36887" w:rsidRDefault="00E36887" w:rsidP="00E36887">
            <w:pPr>
              <w:ind w:left="-81"/>
              <w:jc w:val="both"/>
              <w:rPr>
                <w:sz w:val="20"/>
                <w:szCs w:val="20"/>
              </w:rPr>
            </w:pPr>
            <w:r w:rsidRPr="00E36887">
              <w:rPr>
                <w:sz w:val="20"/>
                <w:szCs w:val="20"/>
              </w:rPr>
              <w:t>As a result, I hereby declare, that the Israeli Defence Forces will stay in Judea, Samaria [the West Bank] and the Gaza District to defend our people and to make sure that Jewish blood is not shed again by our implacable enemies. [APPLAUSE]</w:t>
            </w:r>
          </w:p>
          <w:p w:rsidR="00E36887" w:rsidRPr="00E36887" w:rsidRDefault="00E36887" w:rsidP="00E36887">
            <w:pPr>
              <w:ind w:left="-81"/>
              <w:rPr>
                <w:sz w:val="20"/>
                <w:szCs w:val="20"/>
              </w:rPr>
            </w:pPr>
          </w:p>
          <w:p w:rsidR="00E36887" w:rsidRPr="00E36887" w:rsidRDefault="00E36887" w:rsidP="00E36887">
            <w:pPr>
              <w:ind w:left="-81"/>
              <w:jc w:val="both"/>
              <w:rPr>
                <w:sz w:val="20"/>
                <w:szCs w:val="20"/>
              </w:rPr>
            </w:pPr>
            <w:r w:rsidRPr="00E36887">
              <w:rPr>
                <w:sz w:val="20"/>
                <w:szCs w:val="20"/>
              </w:rPr>
              <w:t>And if anybody made a declaration to the effect that the agreement means that our Defence Forces will stay in Judea, Samaria [the West Bank] and the Gaza District only for 5 years, I hereby declare they will stay beyond 5 years.</w:t>
            </w:r>
          </w:p>
          <w:p w:rsidR="00E36887" w:rsidRPr="00E36887" w:rsidRDefault="00E36887" w:rsidP="00E36887">
            <w:pPr>
              <w:ind w:left="-81"/>
              <w:rPr>
                <w:sz w:val="20"/>
                <w:szCs w:val="20"/>
              </w:rPr>
            </w:pPr>
            <w:r w:rsidRPr="00E36887">
              <w:rPr>
                <w:sz w:val="20"/>
                <w:szCs w:val="20"/>
              </w:rPr>
              <w:t>…</w:t>
            </w:r>
          </w:p>
          <w:p w:rsidR="00E36887" w:rsidRPr="00E36887" w:rsidRDefault="00E36887" w:rsidP="00E36887">
            <w:pPr>
              <w:ind w:left="-81"/>
              <w:jc w:val="both"/>
              <w:rPr>
                <w:sz w:val="20"/>
                <w:szCs w:val="20"/>
              </w:rPr>
            </w:pPr>
            <w:r w:rsidRPr="00E36887">
              <w:rPr>
                <w:sz w:val="20"/>
                <w:szCs w:val="20"/>
              </w:rPr>
              <w:t>Yes, Judea, Samaria [the West Bank] and the Gaza Strip are integral parts of Greater Israel, land of our forefathers, which we have never forgotten during exile, when we were a persecuted minority, humiliated, killed, our blood shed, burned alive. We always remembered Zion, and Zion means Greater Israel. It is our land as of right.</w:t>
            </w:r>
          </w:p>
          <w:p w:rsidR="00E36887" w:rsidRPr="00E36887" w:rsidRDefault="00E36887" w:rsidP="00E36887">
            <w:pPr>
              <w:ind w:left="-81"/>
              <w:rPr>
                <w:sz w:val="20"/>
                <w:szCs w:val="20"/>
              </w:rPr>
            </w:pPr>
          </w:p>
          <w:p w:rsidR="00E36887" w:rsidRDefault="00E36887" w:rsidP="00E36887">
            <w:pPr>
              <w:rPr>
                <w:sz w:val="20"/>
                <w:szCs w:val="20"/>
              </w:rPr>
            </w:pPr>
            <w:r w:rsidRPr="00E36887">
              <w:rPr>
                <w:sz w:val="20"/>
                <w:szCs w:val="20"/>
              </w:rPr>
              <w:t xml:space="preserve"> Menachem Begin, Prime Minister of Israel, in a </w:t>
            </w:r>
            <w:r w:rsidRPr="00E36887">
              <w:rPr>
                <w:b/>
                <w:sz w:val="20"/>
                <w:szCs w:val="20"/>
              </w:rPr>
              <w:t>speech to about 2,000 American Jewish leaders</w:t>
            </w:r>
            <w:r w:rsidRPr="00E36887">
              <w:rPr>
                <w:sz w:val="20"/>
                <w:szCs w:val="20"/>
              </w:rPr>
              <w:t xml:space="preserve"> in the American Hotel, New York City, three days after the signing of the Camp David Accords, 20 September, 1978.</w:t>
            </w:r>
          </w:p>
        </w:tc>
      </w:tr>
    </w:tbl>
    <w:p w:rsidR="00B5504E" w:rsidRDefault="00B5504E" w:rsidP="00322A31">
      <w:pPr>
        <w:spacing w:after="0" w:line="240" w:lineRule="auto"/>
        <w:rPr>
          <w:sz w:val="20"/>
          <w:szCs w:val="20"/>
        </w:rPr>
      </w:pPr>
    </w:p>
    <w:p w:rsidR="00E36887" w:rsidRDefault="00E36887" w:rsidP="00E36887">
      <w:pPr>
        <w:pStyle w:val="ListParagraph"/>
        <w:numPr>
          <w:ilvl w:val="0"/>
          <w:numId w:val="1"/>
        </w:numPr>
        <w:spacing w:after="0" w:line="240" w:lineRule="auto"/>
        <w:rPr>
          <w:sz w:val="20"/>
          <w:szCs w:val="20"/>
        </w:rPr>
      </w:pPr>
      <w:r>
        <w:rPr>
          <w:sz w:val="20"/>
          <w:szCs w:val="20"/>
        </w:rPr>
        <w:t>To what extent did Menachem Begin</w:t>
      </w:r>
      <w:r w:rsidR="00105F8B">
        <w:rPr>
          <w:sz w:val="20"/>
          <w:szCs w:val="20"/>
        </w:rPr>
        <w:t xml:space="preserve"> in his speech (above) presenting the Camp David Accords, accept the terms of the accord?</w:t>
      </w:r>
    </w:p>
    <w:p w:rsidR="00105F8B" w:rsidRDefault="00105F8B" w:rsidP="00105F8B">
      <w:pPr>
        <w:spacing w:after="0" w:line="240" w:lineRule="auto"/>
        <w:rPr>
          <w:sz w:val="20"/>
          <w:szCs w:val="20"/>
        </w:rPr>
      </w:pPr>
    </w:p>
    <w:p w:rsidR="00105F8B" w:rsidRDefault="00105F8B" w:rsidP="00105F8B">
      <w:pPr>
        <w:spacing w:after="0" w:line="240" w:lineRule="auto"/>
        <w:rPr>
          <w:sz w:val="20"/>
          <w:szCs w:val="20"/>
        </w:rPr>
      </w:pPr>
    </w:p>
    <w:p w:rsidR="00105F8B" w:rsidRDefault="00105F8B" w:rsidP="00105F8B">
      <w:pPr>
        <w:spacing w:after="0" w:line="240" w:lineRule="auto"/>
        <w:rPr>
          <w:sz w:val="20"/>
          <w:szCs w:val="20"/>
        </w:rPr>
      </w:pPr>
    </w:p>
    <w:p w:rsidR="00105F8B" w:rsidRDefault="00105F8B" w:rsidP="00105F8B">
      <w:pPr>
        <w:spacing w:after="0" w:line="240" w:lineRule="auto"/>
        <w:rPr>
          <w:sz w:val="20"/>
          <w:szCs w:val="20"/>
        </w:rPr>
      </w:pPr>
    </w:p>
    <w:p w:rsidR="00105F8B" w:rsidRPr="00105F8B" w:rsidRDefault="00105F8B" w:rsidP="00105F8B">
      <w:pPr>
        <w:spacing w:after="0" w:line="240" w:lineRule="auto"/>
        <w:rPr>
          <w:sz w:val="20"/>
          <w:szCs w:val="20"/>
        </w:rPr>
      </w:pPr>
      <w:r>
        <w:rPr>
          <w:sz w:val="20"/>
          <w:szCs w:val="20"/>
        </w:rPr>
        <w:t>Read the following two excerpts:</w:t>
      </w:r>
    </w:p>
    <w:tbl>
      <w:tblPr>
        <w:tblStyle w:val="TableGrid"/>
        <w:tblW w:w="0" w:type="auto"/>
        <w:tblLook w:val="04A0" w:firstRow="1" w:lastRow="0" w:firstColumn="1" w:lastColumn="0" w:noHBand="0" w:noVBand="1"/>
      </w:tblPr>
      <w:tblGrid>
        <w:gridCol w:w="9350"/>
      </w:tblGrid>
      <w:tr w:rsidR="00E36887" w:rsidTr="00E36887">
        <w:tc>
          <w:tcPr>
            <w:tcW w:w="9350" w:type="dxa"/>
          </w:tcPr>
          <w:p w:rsidR="00E36887" w:rsidRPr="00E36887" w:rsidRDefault="00E36887" w:rsidP="00E36887">
            <w:pPr>
              <w:ind w:left="-81"/>
              <w:jc w:val="both"/>
              <w:rPr>
                <w:sz w:val="20"/>
                <w:szCs w:val="20"/>
              </w:rPr>
            </w:pPr>
            <w:r w:rsidRPr="00E36887">
              <w:rPr>
                <w:sz w:val="20"/>
                <w:szCs w:val="20"/>
              </w:rPr>
              <w:t>Consider what is universally called the "peace process" in the Middle East, referring to the Camp David agreements. Israeli-run polls reveal that the population of the territories under Israeli military occupation [the vast majority of whom are Arab Palestinians] overwhelmingly oppose the "peace process", regarding it as detrimental to their interests. Why should this be so? Surely of all the people in the region, they are among those who must be yearning the most for peace. [This is a] strange paradox.</w:t>
            </w:r>
          </w:p>
          <w:p w:rsidR="00E36887" w:rsidRPr="00E36887" w:rsidRDefault="00E36887" w:rsidP="00E36887">
            <w:pPr>
              <w:ind w:left="-81"/>
              <w:rPr>
                <w:sz w:val="20"/>
                <w:szCs w:val="20"/>
              </w:rPr>
            </w:pPr>
          </w:p>
          <w:p w:rsidR="00E36887" w:rsidRPr="00E36887" w:rsidRDefault="00E36887" w:rsidP="00E36887">
            <w:pPr>
              <w:ind w:left="-81"/>
              <w:jc w:val="both"/>
              <w:rPr>
                <w:sz w:val="20"/>
                <w:szCs w:val="20"/>
              </w:rPr>
            </w:pPr>
            <w:r w:rsidRPr="00E36887">
              <w:rPr>
                <w:sz w:val="20"/>
                <w:szCs w:val="20"/>
              </w:rPr>
              <w:t>The problem [of understanding this paradox] is easily solved. The "peace process", as was evident at the time [of the Camp David Accords] and should be transparent in retrospect, was designed… to remove the major Arab military force, Egypt, from the conflict, so that Israel would then be free, with a huge and rapidly-expanding U.S. subsidy, to intensify settlement and repression in the conquered territories…. It is hardly a cause for wonder that the victims of the "peace process" [i.e., the Arab Palestinians] overwhelmingly condemn and reject it….</w:t>
            </w:r>
          </w:p>
          <w:p w:rsidR="00E36887" w:rsidRPr="00E36887" w:rsidRDefault="00E36887" w:rsidP="00E36887">
            <w:pPr>
              <w:ind w:left="-81"/>
              <w:rPr>
                <w:sz w:val="20"/>
                <w:szCs w:val="20"/>
              </w:rPr>
            </w:pPr>
          </w:p>
          <w:p w:rsidR="00E36887" w:rsidRDefault="00E36887" w:rsidP="00E36887">
            <w:pPr>
              <w:rPr>
                <w:sz w:val="20"/>
                <w:szCs w:val="20"/>
              </w:rPr>
            </w:pPr>
            <w:r w:rsidRPr="00E36887">
              <w:rPr>
                <w:sz w:val="20"/>
                <w:szCs w:val="20"/>
              </w:rPr>
              <w:t xml:space="preserve"> Noam Chomsky, </w:t>
            </w:r>
            <w:r w:rsidRPr="00E36887">
              <w:rPr>
                <w:b/>
                <w:sz w:val="20"/>
                <w:szCs w:val="20"/>
              </w:rPr>
              <w:t>"The Manufacture of Consent,"</w:t>
            </w:r>
            <w:r w:rsidRPr="00E36887">
              <w:rPr>
                <w:sz w:val="20"/>
                <w:szCs w:val="20"/>
              </w:rPr>
              <w:t xml:space="preserve"> (1984) in </w:t>
            </w:r>
            <w:r w:rsidRPr="00E36887">
              <w:rPr>
                <w:i/>
                <w:sz w:val="20"/>
                <w:szCs w:val="20"/>
              </w:rPr>
              <w:t>The Chomsky Reader</w:t>
            </w:r>
            <w:r w:rsidRPr="00E36887">
              <w:rPr>
                <w:sz w:val="20"/>
                <w:szCs w:val="20"/>
              </w:rPr>
              <w:t>, New York: Pantheon Books, 1987, pg. 134.</w:t>
            </w:r>
          </w:p>
        </w:tc>
      </w:tr>
    </w:tbl>
    <w:p w:rsidR="00E36887" w:rsidRPr="00E36887" w:rsidRDefault="00E36887" w:rsidP="00E36887">
      <w:pPr>
        <w:spacing w:after="0" w:line="240" w:lineRule="auto"/>
        <w:rPr>
          <w:sz w:val="20"/>
          <w:szCs w:val="20"/>
        </w:rPr>
      </w:pPr>
    </w:p>
    <w:tbl>
      <w:tblPr>
        <w:tblStyle w:val="TableGrid"/>
        <w:tblW w:w="0" w:type="auto"/>
        <w:tblLook w:val="04A0" w:firstRow="1" w:lastRow="0" w:firstColumn="1" w:lastColumn="0" w:noHBand="0" w:noVBand="1"/>
      </w:tblPr>
      <w:tblGrid>
        <w:gridCol w:w="9350"/>
      </w:tblGrid>
      <w:tr w:rsidR="00E36887" w:rsidTr="00E36887">
        <w:tc>
          <w:tcPr>
            <w:tcW w:w="9350" w:type="dxa"/>
          </w:tcPr>
          <w:p w:rsidR="00E36887" w:rsidRPr="00E36887" w:rsidRDefault="00E36887" w:rsidP="00E36887">
            <w:pPr>
              <w:ind w:left="-81"/>
              <w:jc w:val="both"/>
              <w:rPr>
                <w:sz w:val="20"/>
                <w:szCs w:val="20"/>
              </w:rPr>
            </w:pPr>
            <w:r w:rsidRPr="00E36887">
              <w:rPr>
                <w:sz w:val="20"/>
                <w:szCs w:val="20"/>
              </w:rPr>
              <w:lastRenderedPageBreak/>
              <w:t>The key element that underlies the [Israeli-Palestinian] conflict, that gives energy and credibility to its extremist edges, is what is called "the occupation". This is pretty straightforward. Some 230,000 Israeli settlers (400,000 counting those in Greater Jerusalem) sit on land occupied by the Israeli military during the Six Day War, back in 1967. This small population controls a disproportionate share of the best land and vital water resources. In Gaza for example, some 7,000 settlers control 20 percent of the land, leaving a million-odd Palestinians crowded into the rest.</w:t>
            </w:r>
          </w:p>
          <w:p w:rsidR="00E36887" w:rsidRPr="00E36887" w:rsidRDefault="00E36887" w:rsidP="00E36887">
            <w:pPr>
              <w:ind w:left="-81"/>
              <w:jc w:val="both"/>
              <w:rPr>
                <w:sz w:val="20"/>
                <w:szCs w:val="20"/>
              </w:rPr>
            </w:pPr>
            <w:r w:rsidRPr="00E36887">
              <w:rPr>
                <w:sz w:val="20"/>
                <w:szCs w:val="20"/>
              </w:rPr>
              <w:t>…</w:t>
            </w:r>
          </w:p>
          <w:p w:rsidR="00E36887" w:rsidRPr="00E36887" w:rsidRDefault="00E36887" w:rsidP="00E36887">
            <w:pPr>
              <w:ind w:left="-81"/>
              <w:jc w:val="both"/>
              <w:rPr>
                <w:sz w:val="20"/>
                <w:szCs w:val="20"/>
              </w:rPr>
            </w:pPr>
            <w:r w:rsidRPr="00E36887">
              <w:rPr>
                <w:sz w:val="20"/>
                <w:szCs w:val="20"/>
              </w:rPr>
              <w:t>To protect the settlements the Israelis have built up a formidable military structure of road blocks, army bases, border controls, secret police surveillance, aerial patrols, 300 miles of US-financed, Israeli-only, by-pass roads. It splits Palestinian territory into some 22 separate "Bantustans". You can't move in any direction from any major Palestinian population centre without having to pass through at least one Israeli checkpoint. For Palestinians this is demeaning, time-consuming and often dangerous. In times not dominated by tanks and helicopter gunships the checkpoints is the very essence of occupation. The cost to the Palestinian economy is staggering. In Bethlehem [in the Occupied Territories] you sometimes can't get fresh vegetables for love or money, while not many miles away in Jericho they rot for a lack of a market.</w:t>
            </w:r>
          </w:p>
          <w:p w:rsidR="00E36887" w:rsidRPr="00E36887" w:rsidRDefault="00E36887" w:rsidP="00E36887">
            <w:pPr>
              <w:ind w:left="-81"/>
              <w:jc w:val="both"/>
              <w:rPr>
                <w:sz w:val="20"/>
                <w:szCs w:val="20"/>
              </w:rPr>
            </w:pPr>
          </w:p>
          <w:p w:rsidR="00E36887" w:rsidRDefault="00E36887" w:rsidP="00E36887">
            <w:pPr>
              <w:rPr>
                <w:sz w:val="20"/>
                <w:szCs w:val="20"/>
              </w:rPr>
            </w:pPr>
            <w:r w:rsidRPr="00E36887">
              <w:rPr>
                <w:sz w:val="20"/>
                <w:szCs w:val="20"/>
              </w:rPr>
              <w:t xml:space="preserve">  Richard Swift, "</w:t>
            </w:r>
            <w:r w:rsidRPr="00E36887">
              <w:rPr>
                <w:b/>
                <w:sz w:val="20"/>
                <w:szCs w:val="20"/>
              </w:rPr>
              <w:t>Israel and Palestine: The Occupation is Killing Us All</w:t>
            </w:r>
            <w:r w:rsidRPr="00E36887">
              <w:rPr>
                <w:sz w:val="20"/>
                <w:szCs w:val="20"/>
              </w:rPr>
              <w:t xml:space="preserve">", in </w:t>
            </w:r>
            <w:r w:rsidRPr="00E36887">
              <w:rPr>
                <w:i/>
                <w:sz w:val="20"/>
                <w:szCs w:val="20"/>
              </w:rPr>
              <w:t>The New Internationalist</w:t>
            </w:r>
            <w:r w:rsidRPr="00E36887">
              <w:rPr>
                <w:sz w:val="20"/>
                <w:szCs w:val="20"/>
              </w:rPr>
              <w:t>, August, 2002.</w:t>
            </w:r>
          </w:p>
        </w:tc>
      </w:tr>
    </w:tbl>
    <w:p w:rsidR="00E36887" w:rsidRPr="00E36887" w:rsidRDefault="00E36887" w:rsidP="00E36887">
      <w:pPr>
        <w:spacing w:after="0" w:line="240" w:lineRule="auto"/>
        <w:rPr>
          <w:sz w:val="20"/>
          <w:szCs w:val="20"/>
        </w:rPr>
      </w:pPr>
    </w:p>
    <w:p w:rsidR="008343B7" w:rsidRPr="00105F8B" w:rsidRDefault="00105F8B" w:rsidP="008343B7">
      <w:pPr>
        <w:pStyle w:val="ListParagraph"/>
        <w:numPr>
          <w:ilvl w:val="0"/>
          <w:numId w:val="1"/>
        </w:numPr>
        <w:spacing w:after="0" w:line="240" w:lineRule="auto"/>
        <w:rPr>
          <w:sz w:val="20"/>
          <w:szCs w:val="20"/>
        </w:rPr>
      </w:pPr>
      <w:r w:rsidRPr="00105F8B">
        <w:rPr>
          <w:color w:val="000000"/>
          <w:sz w:val="20"/>
          <w:szCs w:val="20"/>
        </w:rPr>
        <w:t xml:space="preserve">According to Noam Chomsky's interpretation, why would the "occupation" of the West Bank and the Gaza Strip, described </w:t>
      </w:r>
      <w:r>
        <w:rPr>
          <w:color w:val="000000"/>
          <w:sz w:val="20"/>
          <w:szCs w:val="20"/>
        </w:rPr>
        <w:t>by Richard Swift</w:t>
      </w:r>
      <w:r w:rsidRPr="00105F8B">
        <w:rPr>
          <w:color w:val="000000"/>
          <w:sz w:val="20"/>
          <w:szCs w:val="20"/>
        </w:rPr>
        <w:t>, have been made easier for the Israelis to continue after the Camp David Accords?</w:t>
      </w:r>
    </w:p>
    <w:p w:rsidR="008343B7" w:rsidRPr="00105F8B" w:rsidRDefault="008343B7" w:rsidP="008343B7">
      <w:pPr>
        <w:spacing w:after="0" w:line="240" w:lineRule="auto"/>
        <w:rPr>
          <w:sz w:val="20"/>
          <w:szCs w:val="20"/>
        </w:rPr>
      </w:pPr>
    </w:p>
    <w:p w:rsidR="008343B7" w:rsidRPr="00105F8B" w:rsidRDefault="008343B7" w:rsidP="008343B7">
      <w:pPr>
        <w:spacing w:after="0" w:line="240" w:lineRule="auto"/>
        <w:rPr>
          <w:sz w:val="20"/>
          <w:szCs w:val="20"/>
        </w:rPr>
      </w:pPr>
    </w:p>
    <w:p w:rsidR="008343B7" w:rsidRPr="00105F8B" w:rsidRDefault="008343B7" w:rsidP="008343B7">
      <w:pPr>
        <w:spacing w:after="0" w:line="240" w:lineRule="auto"/>
        <w:rPr>
          <w:sz w:val="20"/>
          <w:szCs w:val="20"/>
        </w:rPr>
      </w:pPr>
    </w:p>
    <w:p w:rsidR="008343B7" w:rsidRDefault="008343B7" w:rsidP="00105F8B">
      <w:pPr>
        <w:rPr>
          <w:sz w:val="20"/>
          <w:szCs w:val="20"/>
        </w:rPr>
      </w:pPr>
    </w:p>
    <w:p w:rsidR="002B0D82" w:rsidRPr="00105F8B" w:rsidRDefault="002B0D82" w:rsidP="00105F8B">
      <w:pPr>
        <w:rPr>
          <w:sz w:val="20"/>
          <w:szCs w:val="20"/>
        </w:rPr>
      </w:pPr>
    </w:p>
    <w:p w:rsidR="00105F8B" w:rsidRPr="002B0D82" w:rsidRDefault="00105F8B" w:rsidP="00105F8B">
      <w:pPr>
        <w:pStyle w:val="ListParagraph"/>
        <w:numPr>
          <w:ilvl w:val="0"/>
          <w:numId w:val="1"/>
        </w:numPr>
        <w:rPr>
          <w:sz w:val="20"/>
          <w:szCs w:val="20"/>
        </w:rPr>
      </w:pPr>
      <w:r>
        <w:rPr>
          <w:sz w:val="20"/>
          <w:szCs w:val="20"/>
        </w:rPr>
        <w:t xml:space="preserve">To what extent was the Camp David Accords successful in achieving peace in the Middle East? </w:t>
      </w:r>
      <w:r w:rsidR="002B0D82">
        <w:rPr>
          <w:sz w:val="20"/>
          <w:szCs w:val="20"/>
        </w:rPr>
        <w:t xml:space="preserve">Where has it </w:t>
      </w:r>
      <w:r w:rsidR="002B0D82" w:rsidRPr="002B0D82">
        <w:rPr>
          <w:sz w:val="20"/>
          <w:szCs w:val="20"/>
        </w:rPr>
        <w:t>been successful? Where has it failed (so far as bringing peace to the region, especially in regards to Palestine)?</w:t>
      </w:r>
    </w:p>
    <w:p w:rsidR="002B0D82" w:rsidRPr="002B0D82" w:rsidRDefault="002B0D82" w:rsidP="002B0D82">
      <w:pPr>
        <w:rPr>
          <w:sz w:val="20"/>
          <w:szCs w:val="20"/>
        </w:rPr>
      </w:pPr>
    </w:p>
    <w:p w:rsidR="002B0D82" w:rsidRPr="002B0D82" w:rsidRDefault="002B0D82" w:rsidP="002B0D82">
      <w:pPr>
        <w:rPr>
          <w:sz w:val="20"/>
          <w:szCs w:val="20"/>
        </w:rPr>
      </w:pPr>
    </w:p>
    <w:p w:rsidR="002B0D82" w:rsidRPr="002B0D82" w:rsidRDefault="002B0D82" w:rsidP="002B0D82">
      <w:pPr>
        <w:rPr>
          <w:sz w:val="20"/>
          <w:szCs w:val="20"/>
        </w:rPr>
      </w:pPr>
    </w:p>
    <w:p w:rsidR="002B0D82" w:rsidRDefault="002B0D82" w:rsidP="002B0D82">
      <w:pPr>
        <w:pStyle w:val="ListParagraph"/>
        <w:numPr>
          <w:ilvl w:val="0"/>
          <w:numId w:val="1"/>
        </w:numPr>
        <w:rPr>
          <w:sz w:val="20"/>
          <w:szCs w:val="20"/>
        </w:rPr>
      </w:pPr>
      <w:r>
        <w:rPr>
          <w:sz w:val="20"/>
          <w:szCs w:val="20"/>
        </w:rPr>
        <w:t xml:space="preserve">Yasser Arafat, a controversial figure of the Middle East, is seen as ‘freedom fighter’ and ‘terrorist.’ Explain. </w:t>
      </w:r>
    </w:p>
    <w:p w:rsidR="002B0D82" w:rsidRDefault="002B0D82" w:rsidP="002B0D82">
      <w:pPr>
        <w:rPr>
          <w:sz w:val="20"/>
          <w:szCs w:val="20"/>
        </w:rPr>
      </w:pPr>
    </w:p>
    <w:p w:rsidR="002B0D82" w:rsidRDefault="002B0D82" w:rsidP="002B0D82">
      <w:pPr>
        <w:rPr>
          <w:sz w:val="20"/>
          <w:szCs w:val="20"/>
        </w:rPr>
      </w:pPr>
    </w:p>
    <w:p w:rsidR="002B0D82" w:rsidRDefault="002B0D82" w:rsidP="002B0D82">
      <w:pPr>
        <w:rPr>
          <w:sz w:val="20"/>
          <w:szCs w:val="20"/>
        </w:rPr>
      </w:pPr>
    </w:p>
    <w:p w:rsidR="002B0D82" w:rsidRPr="002B0D82" w:rsidRDefault="00C803C4" w:rsidP="002B0D82">
      <w:pPr>
        <w:pStyle w:val="ListParagraph"/>
        <w:numPr>
          <w:ilvl w:val="0"/>
          <w:numId w:val="1"/>
        </w:numPr>
        <w:rPr>
          <w:sz w:val="20"/>
          <w:szCs w:val="20"/>
        </w:rPr>
      </w:pPr>
      <w:r>
        <w:rPr>
          <w:sz w:val="20"/>
          <w:szCs w:val="20"/>
        </w:rPr>
        <w:t>The Oslo Accords were a landmark agreement, however, in the 25 years since their signing, the peace process has stalled. Explain what followed Oslo and some of the problems in attaining  a lasting peace for Israelis and Palestinians in the Middle East.</w:t>
      </w:r>
    </w:p>
    <w:p w:rsidR="002B0D82" w:rsidRDefault="002B0D82" w:rsidP="002B0D82"/>
    <w:p w:rsidR="002B0D82" w:rsidRDefault="002B0D82" w:rsidP="002B0D82"/>
    <w:p w:rsidR="002B0D82" w:rsidRDefault="002B0D82" w:rsidP="002B0D82"/>
    <w:sectPr w:rsidR="002B0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7CD"/>
    <w:multiLevelType w:val="hybridMultilevel"/>
    <w:tmpl w:val="47446BB8"/>
    <w:lvl w:ilvl="0" w:tplc="F1C23752">
      <w:start w:val="1"/>
      <w:numFmt w:val="decimal"/>
      <w:lvlText w:val="%1."/>
      <w:lvlJc w:val="left"/>
      <w:pPr>
        <w:ind w:left="360" w:hanging="360"/>
      </w:pPr>
      <w:rPr>
        <w:rFonts w:hint="default"/>
        <w:b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7B3B7C"/>
    <w:multiLevelType w:val="hybridMultilevel"/>
    <w:tmpl w:val="B62E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80727"/>
    <w:multiLevelType w:val="hybridMultilevel"/>
    <w:tmpl w:val="400A27A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9419CE"/>
    <w:multiLevelType w:val="hybridMultilevel"/>
    <w:tmpl w:val="2EE215B2"/>
    <w:lvl w:ilvl="0" w:tplc="FFFFFFFF">
      <w:start w:val="1"/>
      <w:numFmt w:val="bullet"/>
      <w:lvlText w:val=""/>
      <w:lvlJc w:val="left"/>
      <w:pPr>
        <w:tabs>
          <w:tab w:val="num" w:pos="279"/>
        </w:tabs>
        <w:ind w:left="279" w:hanging="360"/>
      </w:pPr>
      <w:rPr>
        <w:rFonts w:ascii="Symbol" w:hAnsi="Symbol" w:hint="default"/>
      </w:rPr>
    </w:lvl>
    <w:lvl w:ilvl="1" w:tplc="FFFFFFFF" w:tentative="1">
      <w:start w:val="1"/>
      <w:numFmt w:val="bullet"/>
      <w:lvlText w:val="o"/>
      <w:lvlJc w:val="left"/>
      <w:pPr>
        <w:tabs>
          <w:tab w:val="num" w:pos="1359"/>
        </w:tabs>
        <w:ind w:left="1359" w:hanging="360"/>
      </w:pPr>
      <w:rPr>
        <w:rFonts w:ascii="Courier New" w:hAnsi="Courier New" w:hint="default"/>
      </w:rPr>
    </w:lvl>
    <w:lvl w:ilvl="2" w:tplc="FFFFFFFF" w:tentative="1">
      <w:start w:val="1"/>
      <w:numFmt w:val="bullet"/>
      <w:lvlText w:val=""/>
      <w:lvlJc w:val="left"/>
      <w:pPr>
        <w:tabs>
          <w:tab w:val="num" w:pos="2079"/>
        </w:tabs>
        <w:ind w:left="2079" w:hanging="360"/>
      </w:pPr>
      <w:rPr>
        <w:rFonts w:ascii="Wingdings" w:hAnsi="Wingdings" w:hint="default"/>
      </w:rPr>
    </w:lvl>
    <w:lvl w:ilvl="3" w:tplc="FFFFFFFF" w:tentative="1">
      <w:start w:val="1"/>
      <w:numFmt w:val="bullet"/>
      <w:lvlText w:val=""/>
      <w:lvlJc w:val="left"/>
      <w:pPr>
        <w:tabs>
          <w:tab w:val="num" w:pos="2799"/>
        </w:tabs>
        <w:ind w:left="2799" w:hanging="360"/>
      </w:pPr>
      <w:rPr>
        <w:rFonts w:ascii="Symbol" w:hAnsi="Symbol" w:hint="default"/>
      </w:rPr>
    </w:lvl>
    <w:lvl w:ilvl="4" w:tplc="FFFFFFFF" w:tentative="1">
      <w:start w:val="1"/>
      <w:numFmt w:val="bullet"/>
      <w:lvlText w:val="o"/>
      <w:lvlJc w:val="left"/>
      <w:pPr>
        <w:tabs>
          <w:tab w:val="num" w:pos="3519"/>
        </w:tabs>
        <w:ind w:left="3519" w:hanging="360"/>
      </w:pPr>
      <w:rPr>
        <w:rFonts w:ascii="Courier New" w:hAnsi="Courier New" w:hint="default"/>
      </w:rPr>
    </w:lvl>
    <w:lvl w:ilvl="5" w:tplc="FFFFFFFF" w:tentative="1">
      <w:start w:val="1"/>
      <w:numFmt w:val="bullet"/>
      <w:lvlText w:val=""/>
      <w:lvlJc w:val="left"/>
      <w:pPr>
        <w:tabs>
          <w:tab w:val="num" w:pos="4239"/>
        </w:tabs>
        <w:ind w:left="4239" w:hanging="360"/>
      </w:pPr>
      <w:rPr>
        <w:rFonts w:ascii="Wingdings" w:hAnsi="Wingdings" w:hint="default"/>
      </w:rPr>
    </w:lvl>
    <w:lvl w:ilvl="6" w:tplc="FFFFFFFF" w:tentative="1">
      <w:start w:val="1"/>
      <w:numFmt w:val="bullet"/>
      <w:lvlText w:val=""/>
      <w:lvlJc w:val="left"/>
      <w:pPr>
        <w:tabs>
          <w:tab w:val="num" w:pos="4959"/>
        </w:tabs>
        <w:ind w:left="4959" w:hanging="360"/>
      </w:pPr>
      <w:rPr>
        <w:rFonts w:ascii="Symbol" w:hAnsi="Symbol" w:hint="default"/>
      </w:rPr>
    </w:lvl>
    <w:lvl w:ilvl="7" w:tplc="FFFFFFFF" w:tentative="1">
      <w:start w:val="1"/>
      <w:numFmt w:val="bullet"/>
      <w:lvlText w:val="o"/>
      <w:lvlJc w:val="left"/>
      <w:pPr>
        <w:tabs>
          <w:tab w:val="num" w:pos="5679"/>
        </w:tabs>
        <w:ind w:left="5679" w:hanging="360"/>
      </w:pPr>
      <w:rPr>
        <w:rFonts w:ascii="Courier New" w:hAnsi="Courier New" w:hint="default"/>
      </w:rPr>
    </w:lvl>
    <w:lvl w:ilvl="8" w:tplc="FFFFFFFF" w:tentative="1">
      <w:start w:val="1"/>
      <w:numFmt w:val="bullet"/>
      <w:lvlText w:val=""/>
      <w:lvlJc w:val="left"/>
      <w:pPr>
        <w:tabs>
          <w:tab w:val="num" w:pos="6399"/>
        </w:tabs>
        <w:ind w:left="6399" w:hanging="360"/>
      </w:pPr>
      <w:rPr>
        <w:rFonts w:ascii="Wingdings" w:hAnsi="Wingdings" w:hint="default"/>
      </w:rPr>
    </w:lvl>
  </w:abstractNum>
  <w:abstractNum w:abstractNumId="4" w15:restartNumberingAfterBreak="0">
    <w:nsid w:val="4D5166F7"/>
    <w:multiLevelType w:val="hybridMultilevel"/>
    <w:tmpl w:val="F270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3A498E"/>
    <w:multiLevelType w:val="hybridMultilevel"/>
    <w:tmpl w:val="2A847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5F"/>
    <w:rsid w:val="000A1609"/>
    <w:rsid w:val="00105F8B"/>
    <w:rsid w:val="00213286"/>
    <w:rsid w:val="00273D23"/>
    <w:rsid w:val="002B0D82"/>
    <w:rsid w:val="00322A31"/>
    <w:rsid w:val="003C134C"/>
    <w:rsid w:val="004C1A85"/>
    <w:rsid w:val="0050335B"/>
    <w:rsid w:val="005727AF"/>
    <w:rsid w:val="005E7E2C"/>
    <w:rsid w:val="00682D7F"/>
    <w:rsid w:val="008140B7"/>
    <w:rsid w:val="008343B7"/>
    <w:rsid w:val="00900812"/>
    <w:rsid w:val="00A0235F"/>
    <w:rsid w:val="00B21DA4"/>
    <w:rsid w:val="00B5504E"/>
    <w:rsid w:val="00B90B2C"/>
    <w:rsid w:val="00C803C4"/>
    <w:rsid w:val="00D114E3"/>
    <w:rsid w:val="00E36887"/>
    <w:rsid w:val="00E82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49996"/>
  <w15:chartTrackingRefBased/>
  <w15:docId w15:val="{5A469898-532D-4E0D-908E-006CA887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3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35F"/>
    <w:pPr>
      <w:ind w:left="720"/>
      <w:contextualSpacing/>
    </w:pPr>
  </w:style>
  <w:style w:type="table" w:styleId="TableGrid">
    <w:name w:val="Table Grid"/>
    <w:basedOn w:val="TableNormal"/>
    <w:uiPriority w:val="59"/>
    <w:rsid w:val="00A02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1745</Words>
  <Characters>9948</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Scott</dc:creator>
  <cp:keywords/>
  <dc:description/>
  <cp:lastModifiedBy>Campbell, Scott</cp:lastModifiedBy>
  <cp:revision>2</cp:revision>
  <dcterms:created xsi:type="dcterms:W3CDTF">2020-04-07T03:12:00Z</dcterms:created>
  <dcterms:modified xsi:type="dcterms:W3CDTF">2020-04-07T03:12:00Z</dcterms:modified>
</cp:coreProperties>
</file>